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0" w:line="360" w:lineRule="auto"/>
        <w:jc w:val="both"/>
        <w:rPr>
          <w:rFonts w:ascii="Tahoma" w:hAnsi="Tahoma" w:eastAsia="SimSun" w:cs="Tahoma"/>
          <w:bCs/>
          <w:lang w:val="el-GR" w:eastAsia="el-GR"/>
        </w:rPr>
      </w:pPr>
    </w:p>
    <w:tbl>
      <w:tblPr>
        <w:tblStyle w:val="8"/>
        <w:tblpPr w:leftFromText="180" w:rightFromText="180" w:vertAnchor="page" w:horzAnchor="page" w:tblpX="1037" w:tblpY="1698"/>
        <w:tblW w:w="9934" w:type="dxa"/>
        <w:tblInd w:w="0" w:type="dxa"/>
        <w:tblLayout w:type="fixed"/>
        <w:tblCellMar>
          <w:top w:w="0" w:type="dxa"/>
          <w:left w:w="108" w:type="dxa"/>
          <w:bottom w:w="0" w:type="dxa"/>
          <w:right w:w="108" w:type="dxa"/>
        </w:tblCellMar>
      </w:tblPr>
      <w:tblGrid>
        <w:gridCol w:w="5378"/>
        <w:gridCol w:w="4556"/>
      </w:tblGrid>
      <w:tr>
        <w:tblPrEx>
          <w:tblLayout w:type="fixed"/>
          <w:tblCellMar>
            <w:top w:w="0" w:type="dxa"/>
            <w:left w:w="108" w:type="dxa"/>
            <w:bottom w:w="0" w:type="dxa"/>
            <w:right w:w="108" w:type="dxa"/>
          </w:tblCellMar>
        </w:tblPrEx>
        <w:trPr>
          <w:trHeight w:val="4301" w:hRule="atLeast"/>
        </w:trPr>
        <w:tc>
          <w:tcPr>
            <w:tcW w:w="5378" w:type="dxa"/>
          </w:tcPr>
          <w:p>
            <w:pPr>
              <w:spacing w:after="0" w:line="240" w:lineRule="auto"/>
              <w:rPr>
                <w:rFonts w:ascii="Tahoma" w:hAnsi="Tahoma" w:eastAsia="SimSun" w:cs="Tahoma"/>
                <w:lang w:eastAsia="el-GR"/>
              </w:rPr>
            </w:pPr>
            <w:r>
              <w:rPr>
                <w:rFonts w:ascii="Tahoma" w:hAnsi="Tahoma" w:eastAsia="SimSun" w:cs="Tahoma"/>
                <w:lang w:eastAsia="el-GR"/>
              </w:rPr>
              <w:t xml:space="preserve">                  </w:t>
            </w:r>
            <w:r>
              <w:rPr>
                <w:rFonts w:ascii="Tahoma" w:hAnsi="Tahoma" w:eastAsia="SimSun" w:cs="Tahoma"/>
                <w:lang w:val="el-GR" w:eastAsia="el-GR"/>
              </w:rPr>
              <w:drawing>
                <wp:inline distT="0" distB="0" distL="0" distR="0">
                  <wp:extent cx="361950" cy="361950"/>
                  <wp:effectExtent l="0" t="0" r="0" b="0"/>
                  <wp:docPr id="1" name="Picture 1" descr="..\My Documents\My Pictures\Copy of ethnos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y Documents\My Pictures\Copy of ethnosim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61950" cy="361950"/>
                          </a:xfrm>
                          <a:prstGeom prst="rect">
                            <a:avLst/>
                          </a:prstGeom>
                          <a:noFill/>
                          <a:ln>
                            <a:noFill/>
                          </a:ln>
                        </pic:spPr>
                      </pic:pic>
                    </a:graphicData>
                  </a:graphic>
                </wp:inline>
              </w:drawing>
            </w:r>
          </w:p>
          <w:p>
            <w:pPr>
              <w:spacing w:after="0" w:line="240" w:lineRule="auto"/>
              <w:rPr>
                <w:rFonts w:ascii="Tahoma" w:hAnsi="Tahoma" w:eastAsia="SimSun" w:cs="Tahoma"/>
                <w:lang w:eastAsia="el-GR"/>
              </w:rPr>
            </w:pPr>
            <w:r>
              <w:rPr>
                <w:rFonts w:ascii="Tahoma" w:hAnsi="Tahoma" w:eastAsia="SimSun" w:cs="Tahoma"/>
                <w:b/>
                <w:lang w:eastAsia="el-GR"/>
              </w:rPr>
              <w:t>HELLENIC REPUBLIC</w:t>
            </w:r>
          </w:p>
          <w:p>
            <w:pPr>
              <w:spacing w:after="0" w:line="240" w:lineRule="auto"/>
              <w:rPr>
                <w:rFonts w:ascii="Tahoma" w:hAnsi="Tahoma" w:eastAsia="SimSun" w:cs="Tahoma"/>
                <w:b/>
                <w:lang w:eastAsia="el-GR"/>
              </w:rPr>
            </w:pPr>
            <w:r>
              <w:rPr>
                <w:rFonts w:ascii="Tahoma" w:hAnsi="Tahoma" w:eastAsia="SimSun" w:cs="Tahoma"/>
                <w:b/>
                <w:lang w:eastAsia="el-GR"/>
              </w:rPr>
              <w:t>MINISTRY OF CULTURE &amp; SPORTS</w:t>
            </w:r>
          </w:p>
          <w:p>
            <w:pPr>
              <w:spacing w:after="0" w:line="240" w:lineRule="auto"/>
              <w:rPr>
                <w:rFonts w:ascii="Tahoma" w:hAnsi="Tahoma" w:eastAsia="SimSun" w:cs="Tahoma"/>
                <w:b/>
                <w:lang w:eastAsia="el-GR"/>
              </w:rPr>
            </w:pPr>
            <w:r>
              <w:rPr>
                <w:rFonts w:ascii="Tahoma" w:hAnsi="Tahoma" w:eastAsia="SimSun" w:cs="Tahoma"/>
                <w:b/>
                <w:caps/>
                <w:lang w:eastAsia="el-GR"/>
              </w:rPr>
              <w:t>General Directorate of Administrative Support and e-Governance</w:t>
            </w:r>
            <w:r>
              <w:rPr>
                <w:rFonts w:ascii="Tahoma" w:hAnsi="Tahoma" w:eastAsia="SimSun" w:cs="Tahoma"/>
                <w:b/>
                <w:lang w:eastAsia="el-GR"/>
              </w:rPr>
              <w:t>(CULTURE SECTOR)</w:t>
            </w:r>
          </w:p>
          <w:p>
            <w:pPr>
              <w:spacing w:after="0" w:line="240" w:lineRule="auto"/>
              <w:ind w:right="-692"/>
              <w:rPr>
                <w:rFonts w:ascii="Tahoma" w:hAnsi="Tahoma" w:eastAsia="SimSun" w:cs="Tahoma"/>
                <w:b/>
                <w:lang w:eastAsia="el-GR"/>
              </w:rPr>
            </w:pPr>
            <w:r>
              <w:rPr>
                <w:rFonts w:ascii="Tahoma" w:hAnsi="Tahoma" w:eastAsia="SimSun" w:cs="Tahoma"/>
                <w:b/>
                <w:lang w:eastAsia="el-GR"/>
              </w:rPr>
              <w:t>ADMINISTRATION OF HUMAN RESOURCES MANAGEMENT (CULTURE SECTOR)</w:t>
            </w:r>
          </w:p>
          <w:p>
            <w:pPr>
              <w:spacing w:after="0" w:line="240" w:lineRule="auto"/>
              <w:rPr>
                <w:rFonts w:ascii="Tahoma" w:hAnsi="Tahoma" w:eastAsia="SimSun" w:cs="Tahoma"/>
                <w:b/>
                <w:lang w:eastAsia="el-GR"/>
              </w:rPr>
            </w:pPr>
            <w:r>
              <w:rPr>
                <w:rFonts w:ascii="Tahoma" w:hAnsi="Tahoma" w:eastAsia="SimSun" w:cs="Tahoma"/>
                <w:b/>
                <w:lang w:eastAsia="el-GR"/>
              </w:rPr>
              <w:t>DEPARTMENT OF ADMINISTRATIVE SUPPORT FOR DEPENDANT BODIES</w:t>
            </w:r>
          </w:p>
          <w:p>
            <w:pPr>
              <w:spacing w:after="0" w:line="240" w:lineRule="auto"/>
              <w:rPr>
                <w:rFonts w:ascii="Tahoma" w:hAnsi="Tahoma" w:eastAsia="SimSun" w:cs="Tahoma"/>
                <w:b/>
                <w:lang w:eastAsia="el-GR"/>
              </w:rPr>
            </w:pPr>
            <w:r>
              <w:rPr>
                <w:rFonts w:ascii="Tahoma" w:hAnsi="Tahoma" w:eastAsia="SimSun" w:cs="Tahoma"/>
                <w:b/>
                <w:lang w:eastAsia="el-GR"/>
              </w:rPr>
              <w:t xml:space="preserve">Post. Address: </w:t>
            </w:r>
            <w:r>
              <w:rPr>
                <w:rFonts w:ascii="Tahoma" w:hAnsi="Tahoma" w:eastAsia="SimSun" w:cs="Tahoma"/>
                <w:lang w:eastAsia="el-GR"/>
              </w:rPr>
              <w:t>20-22 Bouboulinas</w:t>
            </w:r>
          </w:p>
          <w:p>
            <w:pPr>
              <w:spacing w:after="0" w:line="240" w:lineRule="auto"/>
              <w:rPr>
                <w:rFonts w:ascii="Tahoma" w:hAnsi="Tahoma" w:eastAsia="SimSun" w:cs="Tahoma"/>
                <w:lang w:eastAsia="el-GR"/>
              </w:rPr>
            </w:pPr>
            <w:r>
              <w:rPr>
                <w:rFonts w:ascii="Tahoma" w:hAnsi="Tahoma" w:eastAsia="SimSun" w:cs="Tahoma"/>
                <w:b/>
                <w:lang w:eastAsia="el-GR"/>
              </w:rPr>
              <w:t xml:space="preserve">Post. Code: </w:t>
            </w:r>
            <w:r>
              <w:rPr>
                <w:rFonts w:ascii="Tahoma" w:hAnsi="Tahoma" w:eastAsia="SimSun" w:cs="Tahoma"/>
                <w:lang w:eastAsia="el-GR"/>
              </w:rPr>
              <w:t>106 82</w:t>
            </w:r>
          </w:p>
          <w:p>
            <w:pPr>
              <w:spacing w:after="0" w:line="240" w:lineRule="auto"/>
              <w:rPr>
                <w:rFonts w:ascii="Tahoma" w:hAnsi="Tahoma" w:eastAsia="SimSun" w:cs="Tahoma"/>
                <w:lang w:eastAsia="el-GR"/>
              </w:rPr>
            </w:pPr>
            <w:r>
              <w:rPr>
                <w:rFonts w:ascii="Tahoma" w:hAnsi="Tahoma" w:eastAsia="SimSun" w:cs="Tahoma"/>
                <w:b/>
                <w:lang w:eastAsia="el-GR"/>
              </w:rPr>
              <w:t>Information:</w:t>
            </w:r>
            <w:r>
              <w:rPr>
                <w:rFonts w:ascii="Tahoma" w:hAnsi="Tahoma" w:eastAsia="SimSun" w:cs="Tahoma"/>
                <w:lang w:eastAsia="el-GR"/>
              </w:rPr>
              <w:t xml:space="preserve"> V. Zarpidi</w:t>
            </w:r>
          </w:p>
          <w:p>
            <w:pPr>
              <w:spacing w:after="0" w:line="240" w:lineRule="auto"/>
              <w:rPr>
                <w:rFonts w:ascii="Tahoma" w:hAnsi="Tahoma" w:eastAsia="SimSun" w:cs="Tahoma"/>
                <w:lang w:eastAsia="el-GR"/>
              </w:rPr>
            </w:pPr>
            <w:r>
              <w:rPr>
                <w:rFonts w:ascii="Tahoma" w:hAnsi="Tahoma" w:eastAsia="SimSun" w:cs="Tahoma"/>
                <w:lang w:eastAsia="el-GR"/>
              </w:rPr>
              <w:t xml:space="preserve">                        K. Koutoumanou              </w:t>
            </w:r>
          </w:p>
          <w:p>
            <w:pPr>
              <w:spacing w:after="0" w:line="240" w:lineRule="auto"/>
              <w:rPr>
                <w:rFonts w:ascii="Tahoma" w:hAnsi="Tahoma" w:eastAsia="SimSun" w:cs="Tahoma"/>
                <w:lang w:eastAsia="el-GR"/>
              </w:rPr>
            </w:pPr>
            <w:r>
              <w:rPr>
                <w:rFonts w:ascii="Tahoma" w:hAnsi="Tahoma" w:eastAsia="SimSun" w:cs="Tahoma"/>
                <w:b/>
                <w:lang w:eastAsia="el-GR"/>
              </w:rPr>
              <w:t>Phone:</w:t>
            </w:r>
            <w:r>
              <w:rPr>
                <w:rFonts w:ascii="Tahoma" w:hAnsi="Tahoma" w:eastAsia="SimSun" w:cs="Tahoma"/>
                <w:lang w:eastAsia="el-GR"/>
              </w:rPr>
              <w:t xml:space="preserve"> 213 - 132241208</w:t>
            </w:r>
          </w:p>
          <w:p>
            <w:pPr>
              <w:spacing w:after="0" w:line="240" w:lineRule="auto"/>
              <w:rPr>
                <w:rFonts w:ascii="Tahoma" w:hAnsi="Tahoma" w:eastAsia="SimSun" w:cs="Tahoma"/>
                <w:lang w:val="it-IT" w:eastAsia="el-GR"/>
              </w:rPr>
            </w:pPr>
            <w:r>
              <w:rPr>
                <w:rFonts w:ascii="Tahoma" w:hAnsi="Tahoma" w:eastAsia="SimSun" w:cs="Tahoma"/>
                <w:b/>
                <w:lang w:val="it-IT" w:eastAsia="el-GR"/>
              </w:rPr>
              <w:t>Fax:</w:t>
            </w:r>
            <w:r>
              <w:rPr>
                <w:rFonts w:ascii="Tahoma" w:hAnsi="Tahoma" w:eastAsia="SimSun" w:cs="Tahoma"/>
                <w:lang w:val="it-IT" w:eastAsia="el-GR"/>
              </w:rPr>
              <w:t xml:space="preserve"> 210-8201415</w:t>
            </w:r>
          </w:p>
          <w:p>
            <w:pPr>
              <w:spacing w:after="0" w:line="240" w:lineRule="auto"/>
              <w:rPr>
                <w:rFonts w:ascii="Tahoma" w:hAnsi="Tahoma" w:eastAsia="SimSun" w:cs="Tahoma"/>
                <w:lang w:val="it-IT" w:eastAsia="el-GR"/>
              </w:rPr>
            </w:pPr>
            <w:r>
              <w:rPr>
                <w:rFonts w:ascii="Tahoma" w:hAnsi="Tahoma" w:eastAsia="SimSun" w:cs="Tahoma"/>
                <w:b/>
                <w:lang w:val="it-IT" w:eastAsia="el-GR"/>
              </w:rPr>
              <w:t>E - mail:</w:t>
            </w:r>
            <w:r>
              <w:rPr>
                <w:rFonts w:ascii="Tahoma" w:hAnsi="Tahoma" w:eastAsia="SimSun" w:cs="Tahoma"/>
                <w:lang w:val="it-IT" w:eastAsia="el-GR"/>
              </w:rPr>
              <w:t xml:space="preserve"> ddad@culture.gr</w:t>
            </w:r>
          </w:p>
        </w:tc>
        <w:tc>
          <w:tcPr>
            <w:tcW w:w="4556" w:type="dxa"/>
          </w:tcPr>
          <w:p>
            <w:pPr>
              <w:keepNext/>
              <w:spacing w:after="0" w:line="240" w:lineRule="auto"/>
              <w:outlineLvl w:val="5"/>
              <w:rPr>
                <w:rFonts w:ascii="Tahoma" w:hAnsi="Tahoma" w:eastAsia="SimSun" w:cs="Tahoma"/>
                <w:b/>
                <w:bCs/>
                <w:u w:val="single"/>
                <w:lang w:eastAsia="el-GR"/>
              </w:rPr>
            </w:pPr>
          </w:p>
          <w:p>
            <w:pPr>
              <w:spacing w:after="0" w:line="240" w:lineRule="auto"/>
              <w:jc w:val="right"/>
              <w:rPr>
                <w:rFonts w:ascii="Tahoma" w:hAnsi="Tahoma" w:eastAsia="SimSun" w:cs="Tahoma"/>
                <w:b/>
                <w:lang w:eastAsia="el-GR"/>
              </w:rPr>
            </w:pPr>
          </w:p>
          <w:p>
            <w:pPr>
              <w:spacing w:after="0" w:line="240" w:lineRule="auto"/>
              <w:jc w:val="right"/>
              <w:rPr>
                <w:rFonts w:ascii="Tahoma" w:hAnsi="Tahoma" w:eastAsia="SimSun" w:cs="Tahoma"/>
                <w:lang w:eastAsia="el-GR"/>
              </w:rPr>
            </w:pPr>
            <w:r>
              <w:rPr>
                <w:rFonts w:ascii="Tahoma" w:hAnsi="Tahoma" w:eastAsia="SimSun" w:cs="Tahoma"/>
                <w:b/>
                <w:lang w:eastAsia="el-GR"/>
              </w:rPr>
              <w:t>TO BE POSTED ON THE INTERNET</w:t>
            </w:r>
          </w:p>
          <w:p>
            <w:pPr>
              <w:spacing w:after="0" w:line="240" w:lineRule="auto"/>
              <w:rPr>
                <w:rFonts w:ascii="Tahoma" w:hAnsi="Tahoma" w:eastAsia="SimSun" w:cs="Tahoma"/>
                <w:lang w:eastAsia="el-GR"/>
              </w:rPr>
            </w:pPr>
          </w:p>
          <w:p>
            <w:pPr>
              <w:spacing w:after="0" w:line="240" w:lineRule="auto"/>
              <w:jc w:val="right"/>
              <w:rPr>
                <w:rFonts w:ascii="Tahoma" w:hAnsi="Tahoma" w:eastAsia="SimSun" w:cs="Tahoma"/>
                <w:b/>
                <w:lang w:eastAsia="el-GR"/>
              </w:rPr>
            </w:pPr>
            <w:r>
              <w:rPr>
                <w:rFonts w:ascii="Tahoma" w:hAnsi="Tahoma" w:eastAsia="SimSun" w:cs="Tahoma"/>
                <w:b/>
                <w:lang w:eastAsia="el-GR"/>
              </w:rPr>
              <w:t>Athens</w:t>
            </w:r>
          </w:p>
          <w:p>
            <w:pPr>
              <w:spacing w:after="0" w:line="240" w:lineRule="auto"/>
              <w:rPr>
                <w:rFonts w:ascii="Tahoma" w:hAnsi="Tahoma" w:eastAsia="SimSun" w:cs="Tahoma"/>
                <w:b/>
                <w:lang w:eastAsia="el-GR"/>
              </w:rPr>
            </w:pPr>
          </w:p>
          <w:p>
            <w:pPr>
              <w:spacing w:after="0" w:line="240" w:lineRule="auto"/>
              <w:rPr>
                <w:rFonts w:ascii="Tahoma" w:hAnsi="Tahoma" w:eastAsia="SimSun" w:cs="Tahoma"/>
                <w:b/>
                <w:lang w:eastAsia="el-GR"/>
              </w:rPr>
            </w:pPr>
          </w:p>
          <w:p>
            <w:pPr>
              <w:spacing w:after="0" w:line="240" w:lineRule="auto"/>
              <w:rPr>
                <w:rFonts w:ascii="Tahoma" w:hAnsi="Tahoma" w:eastAsia="SimSun" w:cs="Tahoma"/>
                <w:b/>
                <w:bCs/>
                <w:u w:val="single"/>
                <w:lang w:eastAsia="el-GR"/>
              </w:rPr>
            </w:pPr>
          </w:p>
          <w:p>
            <w:pPr>
              <w:spacing w:after="0" w:line="240" w:lineRule="auto"/>
              <w:rPr>
                <w:rFonts w:ascii="Tahoma" w:hAnsi="Tahoma" w:eastAsia="SimSun" w:cs="Tahoma"/>
                <w:b/>
                <w:bCs/>
                <w:u w:val="single"/>
                <w:lang w:eastAsia="el-GR"/>
              </w:rPr>
            </w:pPr>
          </w:p>
          <w:p>
            <w:pPr>
              <w:spacing w:after="0" w:line="240" w:lineRule="auto"/>
              <w:rPr>
                <w:rFonts w:ascii="Tahoma" w:hAnsi="Tahoma" w:eastAsia="SimSun" w:cs="Tahoma"/>
                <w:b/>
                <w:bCs/>
                <w:u w:val="single"/>
                <w:lang w:eastAsia="el-GR"/>
              </w:rPr>
            </w:pPr>
          </w:p>
          <w:p>
            <w:pPr>
              <w:spacing w:after="0" w:line="240" w:lineRule="auto"/>
              <w:rPr>
                <w:rFonts w:ascii="Tahoma" w:hAnsi="Tahoma" w:eastAsia="SimSun" w:cs="Tahoma"/>
                <w:b/>
                <w:bCs/>
                <w:u w:val="single"/>
                <w:lang w:eastAsia="el-GR"/>
              </w:rPr>
            </w:pPr>
          </w:p>
          <w:p>
            <w:pPr>
              <w:spacing w:after="0" w:line="240" w:lineRule="auto"/>
              <w:rPr>
                <w:rFonts w:ascii="Tahoma" w:hAnsi="Tahoma" w:eastAsia="SimSun" w:cs="Tahoma"/>
                <w:lang w:eastAsia="el-GR"/>
              </w:rPr>
            </w:pPr>
            <w:r>
              <w:rPr>
                <w:rFonts w:ascii="Tahoma" w:hAnsi="Tahoma" w:eastAsia="SimSun" w:cs="Tahoma"/>
                <w:b/>
                <w:bCs/>
                <w:u w:val="single"/>
                <w:lang w:eastAsia="el-GR"/>
              </w:rPr>
              <w:t>To:</w:t>
            </w:r>
          </w:p>
          <w:p>
            <w:pPr>
              <w:spacing w:after="0" w:line="240" w:lineRule="auto"/>
              <w:rPr>
                <w:rFonts w:ascii="Tahoma" w:hAnsi="Tahoma" w:eastAsia="SimSun" w:cs="Tahoma"/>
                <w:bCs/>
                <w:lang w:eastAsia="el-GR"/>
              </w:rPr>
            </w:pPr>
            <w:r>
              <w:rPr>
                <w:rFonts w:ascii="Tahoma" w:hAnsi="Tahoma" w:eastAsia="SimSun" w:cs="Tahoma"/>
                <w:bCs/>
                <w:lang w:eastAsia="el-GR"/>
              </w:rPr>
              <w:t>National Printing Office</w:t>
            </w:r>
          </w:p>
          <w:p>
            <w:pPr>
              <w:spacing w:after="0" w:line="240" w:lineRule="auto"/>
              <w:ind w:right="-205"/>
              <w:rPr>
                <w:rFonts w:ascii="Tahoma" w:hAnsi="Tahoma" w:eastAsia="SimSun" w:cs="Tahoma"/>
                <w:bCs/>
                <w:lang w:eastAsia="el-GR"/>
              </w:rPr>
            </w:pPr>
            <w:r>
              <w:rPr>
                <w:rFonts w:ascii="Tahoma" w:hAnsi="Tahoma" w:eastAsia="SimSun" w:cs="Tahoma"/>
                <w:bCs/>
                <w:lang w:eastAsia="el-GR"/>
              </w:rPr>
              <w:t>(for publication – Agency code 25145)</w:t>
            </w:r>
          </w:p>
          <w:p>
            <w:pPr>
              <w:spacing w:after="0" w:line="240" w:lineRule="auto"/>
              <w:rPr>
                <w:rFonts w:ascii="Tahoma" w:hAnsi="Tahoma" w:eastAsia="SimSun" w:cs="Tahoma"/>
                <w:lang w:eastAsia="el-GR"/>
              </w:rPr>
            </w:pPr>
          </w:p>
        </w:tc>
      </w:tr>
    </w:tbl>
    <w:p>
      <w:pPr>
        <w:spacing w:after="0" w:line="360" w:lineRule="auto"/>
        <w:rPr>
          <w:rFonts w:ascii="Tahoma" w:hAnsi="Tahoma" w:eastAsia="SimSun" w:cs="Tahoma"/>
          <w:lang w:eastAsia="el-GR"/>
        </w:rPr>
      </w:pPr>
      <w:r>
        <w:rPr>
          <w:rFonts w:ascii="Tahoma" w:hAnsi="Tahoma" w:eastAsia="SimSun" w:cs="Tahoma"/>
          <w:b/>
          <w:lang w:eastAsia="el-GR"/>
        </w:rPr>
        <w:t xml:space="preserve">SUBJECT: </w:t>
      </w:r>
      <w:r>
        <w:rPr>
          <w:rFonts w:ascii="Tahoma" w:hAnsi="Tahoma" w:eastAsia="SimSun" w:cs="Tahoma"/>
          <w:lang w:eastAsia="el-GR"/>
        </w:rPr>
        <w:t>Call for expression of interest to fill in the post of the Artistic Director of the National Theatre of Greece, definition of special qualifications and selection criteria.</w:t>
      </w:r>
    </w:p>
    <w:p>
      <w:pPr>
        <w:spacing w:after="0" w:line="360" w:lineRule="auto"/>
        <w:rPr>
          <w:rFonts w:ascii="Tahoma" w:hAnsi="Tahoma" w:eastAsia="SimSun" w:cs="Tahoma"/>
          <w:lang w:eastAsia="el-GR"/>
        </w:rPr>
      </w:pPr>
    </w:p>
    <w:p>
      <w:pPr>
        <w:spacing w:after="0" w:line="360" w:lineRule="auto"/>
        <w:jc w:val="center"/>
        <w:rPr>
          <w:rFonts w:ascii="Tahoma" w:hAnsi="Tahoma" w:eastAsia="SimSun" w:cs="Tahoma"/>
          <w:b/>
          <w:bCs/>
          <w:spacing w:val="57"/>
          <w:lang w:eastAsia="el-GR"/>
        </w:rPr>
      </w:pPr>
      <w:r>
        <w:rPr>
          <w:rFonts w:ascii="Tahoma" w:hAnsi="Tahoma" w:eastAsia="SimSun" w:cs="Tahoma"/>
          <w:b/>
          <w:bCs/>
          <w:spacing w:val="57"/>
          <w:lang w:eastAsia="el-GR"/>
        </w:rPr>
        <w:t>THE MINISTER OF CULTURE AND SPORTS</w:t>
      </w:r>
    </w:p>
    <w:p>
      <w:pPr>
        <w:spacing w:after="0" w:line="360" w:lineRule="auto"/>
        <w:jc w:val="both"/>
        <w:rPr>
          <w:rFonts w:ascii="Tahoma" w:hAnsi="Tahoma" w:eastAsia="SimSun" w:cs="Tahoma"/>
          <w:lang w:eastAsia="el-GR"/>
        </w:rPr>
      </w:pPr>
      <w:bookmarkStart w:id="0" w:name="_GoBack"/>
      <w:bookmarkEnd w:id="0"/>
    </w:p>
    <w:p>
      <w:pPr>
        <w:spacing w:after="0" w:line="360" w:lineRule="auto"/>
        <w:jc w:val="both"/>
        <w:rPr>
          <w:rFonts w:ascii="Tahoma" w:hAnsi="Tahoma" w:eastAsia="SimSun" w:cs="Tahoma"/>
          <w:lang w:eastAsia="el-GR"/>
        </w:rPr>
      </w:pPr>
      <w:r>
        <w:rPr>
          <w:rFonts w:ascii="Tahoma" w:hAnsi="Tahoma" w:eastAsia="SimSun" w:cs="Tahoma"/>
          <w:lang w:eastAsia="el-GR"/>
        </w:rPr>
        <w:t>Taking into consideration:</w:t>
      </w:r>
    </w:p>
    <w:p>
      <w:pPr>
        <w:spacing w:after="0" w:line="360" w:lineRule="auto"/>
        <w:jc w:val="both"/>
        <w:rPr>
          <w:rFonts w:ascii="Tahoma" w:hAnsi="Tahoma" w:eastAsia="SimSun" w:cs="Tahoma"/>
          <w:lang w:eastAsia="el-GR"/>
        </w:rPr>
      </w:pPr>
      <w:r>
        <w:rPr>
          <w:rFonts w:ascii="Tahoma" w:hAnsi="Tahoma" w:eastAsia="SimSun" w:cs="Tahoma"/>
          <w:lang w:eastAsia="el-GR"/>
        </w:rPr>
        <w:t>1. The provisions</w:t>
      </w:r>
    </w:p>
    <w:p>
      <w:pPr>
        <w:spacing w:after="0" w:line="360" w:lineRule="auto"/>
        <w:jc w:val="both"/>
        <w:rPr>
          <w:rFonts w:ascii="Tahoma" w:hAnsi="Tahoma" w:eastAsia="SimSun" w:cs="Tahoma"/>
          <w:lang w:eastAsia="el-GR"/>
        </w:rPr>
      </w:pPr>
      <w:r>
        <w:rPr>
          <w:rFonts w:ascii="Tahoma" w:hAnsi="Tahoma" w:eastAsia="SimSun" w:cs="Tahoma"/>
          <w:lang w:eastAsia="el-GR"/>
        </w:rPr>
        <w:t>a) of articles 1 and 3 (par. 1, 13, 14 and 16) of Law 2273/94 “National Theatre of Greece, National Theatre of Northern Greece and other provisions" (A 233), as applicable after the addition to article 1 of the provision of paragraph 21 of article 7 of Law 2557/97 and the replacement of paragraphs 13 and 16 of article 3 with the provisions of article 52 of Law 4415/16 (A159).</w:t>
      </w:r>
    </w:p>
    <w:p>
      <w:pPr>
        <w:spacing w:after="0" w:line="360" w:lineRule="auto"/>
        <w:jc w:val="both"/>
        <w:rPr>
          <w:rFonts w:ascii="Tahoma" w:hAnsi="Tahoma" w:eastAsia="SimSun" w:cs="Tahoma"/>
          <w:lang w:eastAsia="el-GR"/>
        </w:rPr>
      </w:pPr>
      <w:r>
        <w:rPr>
          <w:rFonts w:ascii="Tahoma" w:hAnsi="Tahoma" w:eastAsia="SimSun" w:cs="Tahoma"/>
          <w:lang w:eastAsia="el-GR"/>
        </w:rPr>
        <w:t>b) the paragraph 4 of article 8 of Law 4369/16 "National Register of Executives of Public Administration, grade classification of ranking, evaluation systems, promotions and selection of supervisors (transparency - meritocracy and efficiency of the Public Administration) and other provisions" A’ 33).</w:t>
      </w:r>
    </w:p>
    <w:p>
      <w:pPr>
        <w:spacing w:after="0" w:line="360" w:lineRule="auto"/>
        <w:jc w:val="both"/>
        <w:rPr>
          <w:rFonts w:ascii="Tahoma" w:hAnsi="Tahoma" w:eastAsia="SimSun" w:cs="Tahoma"/>
          <w:lang w:eastAsia="el-GR"/>
        </w:rPr>
      </w:pPr>
      <w:r>
        <w:rPr>
          <w:rFonts w:ascii="Tahoma" w:hAnsi="Tahoma" w:eastAsia="SimSun" w:cs="Tahoma"/>
          <w:lang w:eastAsia="el-GR"/>
        </w:rPr>
        <w:t>c) the Presidential Decree 70/2015 "Reestablishment of the Ministries of Culture and Sports, Infrastructure, Transport and Networks" (A’ 114).</w:t>
      </w:r>
    </w:p>
    <w:p>
      <w:pPr>
        <w:spacing w:after="0" w:line="360" w:lineRule="auto"/>
        <w:jc w:val="both"/>
        <w:rPr>
          <w:rFonts w:ascii="Tahoma" w:hAnsi="Tahoma" w:eastAsia="SimSun" w:cs="Tahoma"/>
          <w:lang w:eastAsia="el-GR"/>
        </w:rPr>
      </w:pPr>
      <w:r>
        <w:rPr>
          <w:rFonts w:ascii="Tahoma" w:hAnsi="Tahoma" w:eastAsia="SimSun" w:cs="Tahoma"/>
          <w:lang w:eastAsia="el-GR"/>
        </w:rPr>
        <w:t>(d) the Presidential Decree 4/2018 "Organization of the Ministry of Culture and Sports" (A’ 7) - correction of error A’ 158, as in force.</w:t>
      </w:r>
    </w:p>
    <w:p>
      <w:pPr>
        <w:spacing w:after="0" w:line="360" w:lineRule="auto"/>
        <w:jc w:val="both"/>
        <w:rPr>
          <w:rFonts w:ascii="Tahoma" w:hAnsi="Tahoma" w:eastAsia="SimSun" w:cs="Tahoma"/>
          <w:lang w:eastAsia="el-GR"/>
        </w:rPr>
      </w:pPr>
      <w:r>
        <w:rPr>
          <w:rFonts w:ascii="Tahoma" w:hAnsi="Tahoma" w:eastAsia="SimSun" w:cs="Tahoma"/>
          <w:lang w:eastAsia="el-GR"/>
        </w:rPr>
        <w:t>e) the Presidential Decree 88/2018 "Appointment of Ministers, Deputy Ministers and State Secretaries" (A’ 160).</w:t>
      </w:r>
    </w:p>
    <w:p>
      <w:pPr>
        <w:spacing w:after="0" w:line="360" w:lineRule="auto"/>
        <w:rPr>
          <w:rFonts w:ascii="Tahoma" w:hAnsi="Tahoma" w:eastAsia="SimSun" w:cs="Tahoma"/>
          <w:lang w:eastAsia="el-GR"/>
        </w:rPr>
      </w:pPr>
      <w:r>
        <w:rPr>
          <w:rFonts w:ascii="Tahoma" w:hAnsi="Tahoma" w:eastAsia="SimSun" w:cs="Tahoma"/>
          <w:lang w:eastAsia="el-GR"/>
        </w:rPr>
        <w:t>2. The need to fill the post of the Artistic Director of the National Theatre of Greece.</w:t>
      </w:r>
    </w:p>
    <w:p>
      <w:pPr>
        <w:spacing w:after="0" w:line="360" w:lineRule="auto"/>
        <w:rPr>
          <w:rFonts w:ascii="Tahoma" w:hAnsi="Tahoma" w:eastAsia="SimSun" w:cs="Tahoma"/>
          <w:lang w:eastAsia="el-GR"/>
        </w:rPr>
      </w:pPr>
      <w:r>
        <w:rPr>
          <w:rFonts w:ascii="Tahoma" w:hAnsi="Tahoma" w:eastAsia="SimSun" w:cs="Tahoma"/>
          <w:lang w:eastAsia="el-GR"/>
        </w:rPr>
        <w:t>3. The consideration that this decision does not entail any expenditure for the national budget.</w:t>
      </w:r>
    </w:p>
    <w:p>
      <w:pPr>
        <w:spacing w:after="0" w:line="360" w:lineRule="auto"/>
        <w:jc w:val="center"/>
        <w:rPr>
          <w:rFonts w:ascii="Tahoma" w:hAnsi="Tahoma" w:eastAsia="SimSun" w:cs="Tahoma"/>
          <w:b/>
          <w:spacing w:val="113"/>
          <w:lang w:eastAsia="el-GR"/>
        </w:rPr>
      </w:pPr>
    </w:p>
    <w:p>
      <w:pPr>
        <w:spacing w:after="0" w:line="360" w:lineRule="auto"/>
        <w:jc w:val="center"/>
        <w:rPr>
          <w:rFonts w:ascii="Tahoma" w:hAnsi="Tahoma" w:eastAsia="SimSun" w:cs="Tahoma"/>
          <w:b/>
          <w:spacing w:val="113"/>
          <w:lang w:eastAsia="el-GR"/>
        </w:rPr>
      </w:pPr>
      <w:r>
        <w:rPr>
          <w:rFonts w:ascii="Tahoma" w:hAnsi="Tahoma" w:eastAsia="SimSun" w:cs="Tahoma"/>
          <w:b/>
          <w:spacing w:val="113"/>
          <w:lang w:eastAsia="el-GR"/>
        </w:rPr>
        <w:t>We Have Decided As Follows</w:t>
      </w:r>
    </w:p>
    <w:p>
      <w:pPr>
        <w:spacing w:after="0" w:line="360" w:lineRule="auto"/>
        <w:jc w:val="center"/>
        <w:rPr>
          <w:rFonts w:ascii="Tahoma" w:hAnsi="Tahoma" w:eastAsia="SimSun" w:cs="Tahoma"/>
          <w:b/>
          <w:spacing w:val="113"/>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I. We promulgate the launch of a public call for expression of interest for the post of the Artistic Director of the National Theatre of Greece</w:t>
      </w:r>
    </w:p>
    <w:p>
      <w:pPr>
        <w:spacing w:after="0" w:line="360" w:lineRule="auto"/>
        <w:jc w:val="both"/>
        <w:rPr>
          <w:rFonts w:ascii="Tahoma" w:hAnsi="Tahoma" w:eastAsia="SimSun" w:cs="Tahoma"/>
          <w:lang w:eastAsia="el-GR"/>
        </w:rPr>
      </w:pPr>
      <w:r>
        <w:rPr>
          <w:rFonts w:ascii="Tahoma" w:hAnsi="Tahoma" w:eastAsia="SimSun" w:cs="Tahoma"/>
          <w:lang w:eastAsia="el-GR"/>
        </w:rPr>
        <w:t>According to the provision of article 1, par. 1 of Law 2273/1994, a legal person governed by private law, established in Athens, was founded under the name "National Theater", supervised by the Minister of Culture.</w:t>
      </w:r>
    </w:p>
    <w:p>
      <w:pPr>
        <w:spacing w:after="0" w:line="360" w:lineRule="auto"/>
        <w:jc w:val="both"/>
        <w:rPr>
          <w:rFonts w:ascii="Tahoma" w:hAnsi="Tahoma" w:eastAsia="SimSun" w:cs="Tahoma"/>
          <w:lang w:eastAsia="el-GR"/>
        </w:rPr>
      </w:pPr>
      <w:r>
        <w:rPr>
          <w:rFonts w:ascii="Tahoma" w:hAnsi="Tahoma" w:eastAsia="SimSun" w:cs="Tahoma"/>
          <w:lang w:eastAsia="el-GR"/>
        </w:rPr>
        <w:t xml:space="preserve">According to the provision of article 1, par. 2 of Law 2273/1994, the objective of the National Theater is to promote the cultural awareness of the public by means of the art of theatre and to preserve the national cultural identity. For this purpose, it develops, promotes and propagates the art of theatre as a cultural, instructional, educational and recreational component of the country's social life. This includes in particular: </w:t>
      </w:r>
    </w:p>
    <w:p>
      <w:pPr>
        <w:spacing w:after="0" w:line="360" w:lineRule="auto"/>
        <w:jc w:val="both"/>
        <w:rPr>
          <w:rFonts w:ascii="Tahoma" w:hAnsi="Tahoma" w:eastAsia="SimSun" w:cs="Tahoma"/>
          <w:lang w:eastAsia="el-GR"/>
        </w:rPr>
      </w:pPr>
      <w:r>
        <w:rPr>
          <w:rFonts w:ascii="Tahoma" w:hAnsi="Tahoma" w:eastAsia="SimSun" w:cs="Tahoma"/>
          <w:lang w:eastAsia="el-GR"/>
        </w:rPr>
        <w:t>a. The study, research, staging and propagation of the ancient Greek drama in Greece and abroad.</w:t>
      </w:r>
    </w:p>
    <w:p>
      <w:pPr>
        <w:spacing w:after="0" w:line="360" w:lineRule="auto"/>
        <w:jc w:val="both"/>
        <w:rPr>
          <w:rFonts w:ascii="Tahoma" w:hAnsi="Tahoma" w:eastAsia="SimSun" w:cs="Tahoma"/>
          <w:lang w:eastAsia="el-GR"/>
        </w:rPr>
      </w:pPr>
      <w:r>
        <w:rPr>
          <w:rFonts w:ascii="Tahoma" w:hAnsi="Tahoma" w:eastAsia="SimSun" w:cs="Tahoma"/>
          <w:lang w:eastAsia="el-GR"/>
        </w:rPr>
        <w:t>  b. The stage direction, promotion and development of the Greek dramaturgy, especially the contemporary Greek playwriting.</w:t>
      </w:r>
    </w:p>
    <w:p>
      <w:pPr>
        <w:spacing w:after="0" w:line="360" w:lineRule="auto"/>
        <w:jc w:val="both"/>
        <w:rPr>
          <w:rFonts w:ascii="Tahoma" w:hAnsi="Tahoma" w:eastAsia="SimSun" w:cs="Tahoma"/>
          <w:lang w:eastAsia="el-GR"/>
        </w:rPr>
      </w:pPr>
      <w:r>
        <w:rPr>
          <w:rFonts w:ascii="Tahoma" w:hAnsi="Tahoma" w:eastAsia="SimSun" w:cs="Tahoma"/>
          <w:lang w:eastAsia="el-GR"/>
        </w:rPr>
        <w:t>  c. The staging and performance of classic plays, as well as the monitoring and stage direction of contemporary plays of the international dramatic repertoire.</w:t>
      </w:r>
    </w:p>
    <w:p>
      <w:pPr>
        <w:spacing w:after="0" w:line="360" w:lineRule="auto"/>
        <w:jc w:val="both"/>
        <w:rPr>
          <w:rFonts w:ascii="Tahoma" w:hAnsi="Tahoma" w:eastAsia="SimSun" w:cs="Tahoma"/>
          <w:lang w:eastAsia="el-GR"/>
        </w:rPr>
      </w:pPr>
      <w:r>
        <w:rPr>
          <w:rFonts w:ascii="Tahoma" w:hAnsi="Tahoma" w:eastAsia="SimSun" w:cs="Tahoma"/>
          <w:lang w:eastAsia="el-GR"/>
        </w:rPr>
        <w:t>  d. Researching, tracking and experimenting with new forms of dramatic and stage expression.</w:t>
      </w:r>
    </w:p>
    <w:p>
      <w:pPr>
        <w:spacing w:after="0" w:line="360" w:lineRule="auto"/>
        <w:jc w:val="both"/>
        <w:rPr>
          <w:rFonts w:ascii="Tahoma" w:hAnsi="Tahoma" w:eastAsia="SimSun" w:cs="Tahoma"/>
          <w:lang w:eastAsia="el-GR"/>
        </w:rPr>
      </w:pPr>
      <w:r>
        <w:rPr>
          <w:rFonts w:ascii="Tahoma" w:hAnsi="Tahoma" w:eastAsia="SimSun" w:cs="Tahoma"/>
          <w:lang w:eastAsia="el-GR"/>
        </w:rPr>
        <w:t>  e. Staging plays for children and youth.</w:t>
      </w:r>
    </w:p>
    <w:p>
      <w:pPr>
        <w:spacing w:after="0" w:line="360" w:lineRule="auto"/>
        <w:jc w:val="both"/>
        <w:rPr>
          <w:rFonts w:ascii="Tahoma" w:hAnsi="Tahoma" w:eastAsia="SimSun" w:cs="Tahoma"/>
          <w:lang w:eastAsia="el-GR"/>
        </w:rPr>
      </w:pPr>
      <w:r>
        <w:rPr>
          <w:rFonts w:ascii="Tahoma" w:hAnsi="Tahoma" w:eastAsia="SimSun" w:cs="Tahoma"/>
          <w:lang w:eastAsia="el-GR"/>
        </w:rPr>
        <w:t>  f. Providing theatrical education by the establishment of a drama school.</w:t>
      </w:r>
    </w:p>
    <w:p>
      <w:pPr>
        <w:spacing w:after="0" w:line="360" w:lineRule="auto"/>
        <w:jc w:val="both"/>
        <w:rPr>
          <w:rFonts w:ascii="Tahoma" w:hAnsi="Tahoma" w:eastAsia="SimSun" w:cs="Tahoma"/>
          <w:lang w:eastAsia="el-GR"/>
        </w:rPr>
      </w:pPr>
      <w:r>
        <w:rPr>
          <w:rFonts w:ascii="Tahoma" w:hAnsi="Tahoma" w:eastAsia="SimSun" w:cs="Tahoma"/>
          <w:lang w:eastAsia="el-GR"/>
        </w:rPr>
        <w:t>  g. The promotion of the international theatre companies exchange and the world theatrical cooperation, especially in the European Union, Europe and the countries where Greek diaspora is active.</w:t>
      </w:r>
      <w:r>
        <w:rPr>
          <w:rFonts w:ascii="Tahoma" w:hAnsi="Tahoma" w:cs="Tahoma"/>
        </w:rPr>
        <w:t xml:space="preserve"> </w:t>
      </w:r>
    </w:p>
    <w:p>
      <w:pPr>
        <w:spacing w:after="0" w:line="360" w:lineRule="auto"/>
        <w:jc w:val="both"/>
        <w:rPr>
          <w:rFonts w:ascii="Tahoma" w:hAnsi="Tahoma" w:eastAsia="SimSun" w:cs="Tahoma"/>
          <w:lang w:eastAsia="el-GR"/>
        </w:rPr>
      </w:pPr>
      <w:r>
        <w:rPr>
          <w:rFonts w:ascii="Tahoma" w:hAnsi="Tahoma" w:eastAsia="SimSun" w:cs="Tahoma"/>
          <w:lang w:eastAsia="el-GR"/>
        </w:rPr>
        <w:t>  h. Development of conditions and incentives for the emergence and encouragement of the domestic theatre human resources.</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 xml:space="preserve">In accordance with the provision of paragraph 13 of article 3 of Law 2273/94 as in force after its replacement by the article 52 of Law 4415/16 "By decision of the Minister of Culture and Sports published in the Government Gazette, the Artistic Director of the National Theater, is appointed for a three-year term that can be renewed (...) A person of recognized prestige, distinguished in the art of theatre shall be appointed to the post of the Artistic Director”.  </w:t>
      </w: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b/>
          <w:lang w:eastAsia="el-GR"/>
        </w:rPr>
      </w:pPr>
      <w:r>
        <w:rPr>
          <w:rFonts w:ascii="Tahoma" w:hAnsi="Tahoma" w:eastAsia="SimSun" w:cs="Tahoma"/>
          <w:b/>
          <w:lang w:eastAsia="el-GR"/>
        </w:rPr>
        <w:t>II. ARTISTIC DIRECTOR POSITION DESCRIPTION</w:t>
      </w: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In accordance with the provision of paragraph 13 of article 3 of Law 2273/94 as in force after its replacement by the article 52 of Law 4415/16 "the Artistic Director has the following responsibilities:</w:t>
      </w:r>
    </w:p>
    <w:p>
      <w:pPr>
        <w:spacing w:after="0" w:line="360" w:lineRule="auto"/>
        <w:jc w:val="both"/>
        <w:rPr>
          <w:rFonts w:ascii="Tahoma" w:hAnsi="Tahoma" w:eastAsia="SimSun" w:cs="Tahoma"/>
          <w:lang w:eastAsia="el-GR"/>
        </w:rPr>
      </w:pPr>
      <w:r>
        <w:rPr>
          <w:rFonts w:ascii="Tahoma" w:hAnsi="Tahoma" w:eastAsia="SimSun" w:cs="Tahoma"/>
          <w:lang w:eastAsia="el-GR"/>
        </w:rPr>
        <w:t xml:space="preserve"> a) to draw up the repertoire of each season,</w:t>
      </w:r>
    </w:p>
    <w:p>
      <w:pPr>
        <w:spacing w:after="0" w:line="360" w:lineRule="auto"/>
        <w:jc w:val="both"/>
        <w:rPr>
          <w:rFonts w:ascii="Tahoma" w:hAnsi="Tahoma" w:eastAsia="SimSun" w:cs="Tahoma"/>
          <w:lang w:eastAsia="el-GR"/>
        </w:rPr>
      </w:pPr>
      <w:r>
        <w:rPr>
          <w:rFonts w:ascii="Tahoma" w:hAnsi="Tahoma" w:eastAsia="SimSun" w:cs="Tahoma"/>
          <w:lang w:eastAsia="el-GR"/>
        </w:rPr>
        <w:t> b) to draw up the budget of each play and of any theatrical performance or event in general, taking into account that all performances or events must not exceed the available budget approved by the Board.</w:t>
      </w:r>
    </w:p>
    <w:p>
      <w:pPr>
        <w:spacing w:after="0" w:line="360" w:lineRule="auto"/>
        <w:jc w:val="both"/>
        <w:rPr>
          <w:rFonts w:ascii="Tahoma" w:hAnsi="Tahoma" w:eastAsia="SimSun" w:cs="Tahoma"/>
          <w:lang w:eastAsia="el-GR"/>
        </w:rPr>
      </w:pPr>
      <w:r>
        <w:rPr>
          <w:rFonts w:ascii="Tahoma" w:hAnsi="Tahoma" w:eastAsia="SimSun" w:cs="Tahoma"/>
          <w:lang w:eastAsia="el-GR"/>
        </w:rPr>
        <w:t> c) to be responsible for the preparation and organization of all the artistic productions of the Theatre, within the Theatre’s budget limitations, supervising the staging of the plays, deciding the rehearsals’ schedule, monitoring, coordinating and supervising the work of the artists, as well as of the necessary technical, administrative and support staff of the production.</w:t>
      </w:r>
    </w:p>
    <w:p>
      <w:pPr>
        <w:spacing w:after="0" w:line="360" w:lineRule="auto"/>
        <w:jc w:val="both"/>
        <w:rPr>
          <w:rFonts w:ascii="Tahoma" w:hAnsi="Tahoma" w:eastAsia="SimSun" w:cs="Tahoma"/>
          <w:lang w:eastAsia="el-GR"/>
        </w:rPr>
      </w:pPr>
      <w:r>
        <w:rPr>
          <w:rFonts w:ascii="Tahoma" w:hAnsi="Tahoma" w:eastAsia="SimSun" w:cs="Tahoma"/>
          <w:lang w:eastAsia="el-GR"/>
        </w:rPr>
        <w:t> d) to supervise and direct in a timely and proper manner every scenic, scenographic, musical, costume and any other necessary preparation, the rehearsal and the performance of every production, approving the respective costs for each production in accordance with his/her authority and within the planned budget.</w:t>
      </w:r>
    </w:p>
    <w:p>
      <w:pPr>
        <w:spacing w:after="0" w:line="360" w:lineRule="auto"/>
        <w:jc w:val="both"/>
        <w:rPr>
          <w:rFonts w:ascii="Tahoma" w:hAnsi="Tahoma" w:eastAsia="SimSun" w:cs="Tahoma"/>
          <w:lang w:eastAsia="el-GR"/>
        </w:rPr>
      </w:pPr>
      <w:r>
        <w:rPr>
          <w:rFonts w:ascii="Tahoma" w:hAnsi="Tahoma" w:eastAsia="SimSun" w:cs="Tahoma"/>
          <w:lang w:eastAsia="el-GR"/>
        </w:rPr>
        <w:t xml:space="preserve">e) to recruit personnel with fixed-term contracts or to conclude works contracts with artistic and technical staff or special associates, to invite ensembles or artists, to undersign the contracts for recruiting and inviting the aforementioned, and to decide on the artistic and non-artistic conditions of their employment, to agree with them the terms and fees of their work contracts and fixed-term contracts of each member of the artists, as well as the fees of the technical staff employed by a works contract within the budget limitations. </w:t>
      </w:r>
    </w:p>
    <w:p>
      <w:pPr>
        <w:spacing w:after="0" w:line="360" w:lineRule="auto"/>
        <w:jc w:val="both"/>
        <w:rPr>
          <w:rFonts w:ascii="Tahoma" w:hAnsi="Tahoma" w:eastAsia="SimSun" w:cs="Tahoma"/>
          <w:lang w:eastAsia="el-GR"/>
        </w:rPr>
      </w:pPr>
      <w:r>
        <w:rPr>
          <w:rFonts w:ascii="Tahoma" w:hAnsi="Tahoma" w:eastAsia="SimSun" w:cs="Tahoma"/>
          <w:lang w:eastAsia="el-GR"/>
        </w:rPr>
        <w:t>f) to exercise first-instance disciplinary authority over the artistic and the technical staff.</w:t>
      </w:r>
    </w:p>
    <w:p>
      <w:pPr>
        <w:spacing w:after="0" w:line="360" w:lineRule="auto"/>
        <w:jc w:val="both"/>
        <w:rPr>
          <w:rFonts w:ascii="Tahoma" w:hAnsi="Tahoma" w:eastAsia="SimSun" w:cs="Tahoma"/>
          <w:lang w:eastAsia="el-GR"/>
        </w:rPr>
      </w:pPr>
      <w:r>
        <w:rPr>
          <w:rFonts w:ascii="Tahoma" w:hAnsi="Tahoma" w:eastAsia="SimSun" w:cs="Tahoma"/>
          <w:lang w:eastAsia="el-GR"/>
        </w:rPr>
        <w:t>g) to supervise the artistic and technological units, as well as the publications and public relations units of the Theatre, in accordance with the Theatre's rules of procedure governing the structure of its services. To supervise and co-ordinate the operation of these units, to oversee the implementation of the relevant decisions of the Board, of the laws and the rules of procedure and generally to exercise his authority related to the operation of the above Theatre units.</w:t>
      </w:r>
    </w:p>
    <w:p>
      <w:pPr>
        <w:spacing w:after="0" w:line="360" w:lineRule="auto"/>
        <w:jc w:val="both"/>
        <w:rPr>
          <w:rFonts w:ascii="Tahoma" w:hAnsi="Tahoma" w:eastAsia="SimSun" w:cs="Tahoma"/>
          <w:lang w:eastAsia="el-GR"/>
        </w:rPr>
      </w:pPr>
      <w:r>
        <w:rPr>
          <w:rFonts w:ascii="Tahoma" w:hAnsi="Tahoma" w:eastAsia="SimSun" w:cs="Tahoma"/>
          <w:lang w:eastAsia="el-GR"/>
        </w:rPr>
        <w:t>h) to supervise the Drama School of the Theatre, to oversee the issues of its operation, to define its artistic aims, acting also as an instructor, to nominate the schools director to the Board, to recruit, upon the recommendation of the director, the instructors and the rest of its staff and to draw up its rules of procedure for approval by the Board. The school's rules of procedure regulate every issue concerning the direction and the management of the school, the terms and the conditions for attending it, and generally all matters concerning its operation within the objectives of the Theatre. If for any reason the school director is absent or unavailable, the artistic director shall perform the duties of the school director.</w:t>
      </w:r>
    </w:p>
    <w:p>
      <w:pPr>
        <w:spacing w:after="0" w:line="360" w:lineRule="auto"/>
        <w:jc w:val="both"/>
        <w:rPr>
          <w:rFonts w:ascii="Tahoma" w:hAnsi="Tahoma" w:eastAsia="SimSun" w:cs="Tahoma"/>
          <w:lang w:eastAsia="el-GR"/>
        </w:rPr>
      </w:pPr>
      <w:r>
        <w:rPr>
          <w:rFonts w:ascii="Tahoma" w:hAnsi="Tahoma" w:eastAsia="SimSun" w:cs="Tahoma"/>
          <w:lang w:eastAsia="el-GR"/>
        </w:rPr>
        <w:t>i. to decide on performances, appearances at festivals or other events and tours and to decide on the casting upon written suggestion by the directors.</w:t>
      </w:r>
    </w:p>
    <w:p>
      <w:pPr>
        <w:spacing w:after="0" w:line="360" w:lineRule="auto"/>
        <w:jc w:val="both"/>
        <w:rPr>
          <w:rFonts w:ascii="Tahoma" w:hAnsi="Tahoma" w:eastAsia="SimSun" w:cs="Tahoma"/>
          <w:lang w:eastAsia="el-GR"/>
        </w:rPr>
      </w:pPr>
      <w:r>
        <w:rPr>
          <w:rFonts w:ascii="Tahoma" w:hAnsi="Tahoma" w:eastAsia="SimSun" w:cs="Tahoma"/>
          <w:lang w:eastAsia="el-GR"/>
        </w:rPr>
        <w:t>j. to propose to the board of directors the draft of the rules of procedure of the Theatre and its revision in cooperation with the administrative - financial director.</w:t>
      </w:r>
    </w:p>
    <w:p>
      <w:pPr>
        <w:spacing w:after="0" w:line="360" w:lineRule="auto"/>
        <w:jc w:val="both"/>
        <w:rPr>
          <w:rFonts w:ascii="Tahoma" w:hAnsi="Tahoma" w:eastAsia="SimSun" w:cs="Tahoma"/>
          <w:lang w:eastAsia="el-GR"/>
        </w:rPr>
      </w:pPr>
      <w:r>
        <w:rPr>
          <w:rFonts w:ascii="Tahoma" w:hAnsi="Tahoma" w:eastAsia="SimSun" w:cs="Tahoma"/>
          <w:lang w:eastAsia="el-GR"/>
        </w:rPr>
        <w:t>k. to submit annually for approval to the board of directors a detailed report of his artistic work along with a statement of income and expenses</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b/>
          <w:bCs/>
          <w:lang w:eastAsia="el-GR"/>
        </w:rPr>
      </w:pPr>
      <w:r>
        <w:rPr>
          <w:rFonts w:ascii="Tahoma" w:hAnsi="Tahoma" w:eastAsia="SimSun" w:cs="Tahoma"/>
          <w:b/>
          <w:lang w:eastAsia="el-GR"/>
        </w:rPr>
        <w:t xml:space="preserve">III. </w:t>
      </w:r>
      <w:r>
        <w:rPr>
          <w:rFonts w:ascii="Tahoma" w:hAnsi="Tahoma" w:eastAsia="SimSun" w:cs="Tahoma"/>
          <w:b/>
          <w:bCs/>
          <w:lang w:eastAsia="el-GR"/>
        </w:rPr>
        <w:t>APPLICANTS QUALIFICATIONS</w:t>
      </w: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The applicants must be:</w:t>
      </w:r>
    </w:p>
    <w:p>
      <w:pPr>
        <w:spacing w:after="0" w:line="360" w:lineRule="auto"/>
        <w:jc w:val="both"/>
        <w:rPr>
          <w:rFonts w:ascii="Tahoma" w:hAnsi="Tahoma" w:eastAsia="SimSun" w:cs="Tahoma"/>
          <w:lang w:eastAsia="el-GR"/>
        </w:rPr>
      </w:pPr>
      <w:r>
        <w:rPr>
          <w:rFonts w:ascii="Tahoma" w:hAnsi="Tahoma" w:eastAsia="SimSun" w:cs="Tahoma"/>
          <w:lang w:eastAsia="el-GR"/>
        </w:rPr>
        <w:t>- Greek citizens, or</w:t>
      </w:r>
    </w:p>
    <w:p>
      <w:pPr>
        <w:spacing w:after="0" w:line="360" w:lineRule="auto"/>
        <w:jc w:val="both"/>
        <w:rPr>
          <w:rFonts w:ascii="Tahoma" w:hAnsi="Tahoma" w:eastAsia="SimSun" w:cs="Tahoma"/>
          <w:lang w:eastAsia="el-GR"/>
        </w:rPr>
      </w:pPr>
      <w:r>
        <w:rPr>
          <w:rFonts w:ascii="Tahoma" w:hAnsi="Tahoma" w:eastAsia="SimSun" w:cs="Tahoma"/>
          <w:lang w:eastAsia="el-GR"/>
        </w:rPr>
        <w:t>- Citizens of a Member State of the European Union, or</w:t>
      </w:r>
    </w:p>
    <w:p>
      <w:pPr>
        <w:spacing w:after="0" w:line="360" w:lineRule="auto"/>
        <w:jc w:val="both"/>
        <w:rPr>
          <w:rFonts w:ascii="Tahoma" w:hAnsi="Tahoma" w:eastAsia="SimSun" w:cs="Tahoma"/>
          <w:lang w:eastAsia="el-GR"/>
        </w:rPr>
      </w:pPr>
      <w:r>
        <w:rPr>
          <w:rFonts w:ascii="Tahoma" w:hAnsi="Tahoma" w:eastAsia="SimSun" w:cs="Tahoma"/>
          <w:lang w:eastAsia="el-GR"/>
        </w:rPr>
        <w:t>- Residents of Northern Epirus (in Albania), or</w:t>
      </w:r>
    </w:p>
    <w:p>
      <w:pPr>
        <w:spacing w:after="0" w:line="360" w:lineRule="auto"/>
        <w:jc w:val="both"/>
        <w:rPr>
          <w:rFonts w:ascii="Tahoma" w:hAnsi="Tahoma" w:eastAsia="SimSun" w:cs="Tahoma"/>
          <w:lang w:eastAsia="el-GR"/>
        </w:rPr>
      </w:pPr>
      <w:r>
        <w:rPr>
          <w:rFonts w:ascii="Tahoma" w:hAnsi="Tahoma" w:eastAsia="SimSun" w:cs="Tahoma"/>
          <w:lang w:eastAsia="el-GR"/>
        </w:rPr>
        <w:t>- Cypriot citizens of Greek ethnic origin, or</w:t>
      </w:r>
    </w:p>
    <w:p>
      <w:pPr>
        <w:spacing w:after="0" w:line="360" w:lineRule="auto"/>
        <w:jc w:val="both"/>
        <w:rPr>
          <w:rFonts w:ascii="Tahoma" w:hAnsi="Tahoma" w:eastAsia="SimSun" w:cs="Tahoma"/>
          <w:lang w:eastAsia="el-GR"/>
        </w:rPr>
      </w:pPr>
      <w:r>
        <w:rPr>
          <w:rFonts w:ascii="Tahoma" w:hAnsi="Tahoma" w:eastAsia="SimSun" w:cs="Tahoma"/>
          <w:lang w:eastAsia="el-GR"/>
        </w:rPr>
        <w:t>-Aliens of Greek ethnic origin from Istanbul and the islands of Imvros and Tenedos or from Egypt, even without a certificate of Greek citizenship, provided that their status as Greeks by ethnic origin and conscience can be evidenced in other ways.</w:t>
      </w:r>
    </w:p>
    <w:p>
      <w:pPr>
        <w:spacing w:after="0" w:line="360" w:lineRule="auto"/>
        <w:jc w:val="both"/>
        <w:rPr>
          <w:rFonts w:ascii="Tahoma" w:hAnsi="Tahoma" w:eastAsia="SimSun" w:cs="Tahoma"/>
          <w:lang w:val="el-GR" w:eastAsia="el-GR"/>
        </w:rPr>
      </w:pPr>
      <w:r>
        <w:rPr>
          <w:rFonts w:ascii="Tahoma" w:hAnsi="Tahoma" w:eastAsia="SimSun" w:cs="Tahoma"/>
          <w:lang w:eastAsia="el-GR"/>
        </w:rPr>
        <w:t>- Those who acquire the Greek citizenship by naturalization cannot be appointed before the completion of one (1) year from its acquisition, until the deadline for the submission of online applications, unless they were nationals of a Member State of the European Union until the date of the citizenship acquisition.</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b/>
          <w:lang w:eastAsia="el-GR"/>
        </w:rPr>
      </w:pPr>
      <w:r>
        <w:rPr>
          <w:rFonts w:ascii="Tahoma" w:hAnsi="Tahoma" w:eastAsia="SimSun" w:cs="Tahoma"/>
          <w:b/>
          <w:lang w:eastAsia="el-GR"/>
        </w:rPr>
        <w:t>1. ESSENTIAL SPECIAL QUALIFICATIONS.</w:t>
      </w: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b/>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The applicants must:</w:t>
      </w:r>
    </w:p>
    <w:p>
      <w:pPr>
        <w:spacing w:after="0" w:line="360" w:lineRule="auto"/>
        <w:jc w:val="both"/>
        <w:rPr>
          <w:rFonts w:ascii="Tahoma" w:hAnsi="Tahoma" w:eastAsia="SimSun" w:cs="Tahoma"/>
          <w:lang w:eastAsia="el-GR"/>
        </w:rPr>
      </w:pPr>
      <w:r>
        <w:rPr>
          <w:rFonts w:ascii="Tahoma" w:hAnsi="Tahoma" w:eastAsia="SimSun" w:cs="Tahoma"/>
          <w:lang w:eastAsia="el-GR"/>
        </w:rPr>
        <w:t>i. Hold a Bachelor's Degree of a domestic HEI (Higher Educational Institution) or TEI (Technological Educational Institution) or an equivalent foreign Academic Degree, recognized by DOATAP (Hellenic NARIC), or they shall be graduates of recognized Drama Schools with  curriculums of at least  four years duration or a university degree on theatrical arts.</w:t>
      </w:r>
    </w:p>
    <w:p>
      <w:pPr>
        <w:spacing w:after="0" w:line="360" w:lineRule="auto"/>
        <w:jc w:val="both"/>
        <w:rPr>
          <w:rFonts w:ascii="Tahoma" w:hAnsi="Tahoma" w:eastAsia="SimSun" w:cs="Tahoma"/>
          <w:lang w:eastAsia="el-GR"/>
        </w:rPr>
      </w:pPr>
      <w:r>
        <w:rPr>
          <w:rFonts w:ascii="Tahoma" w:hAnsi="Tahoma" w:eastAsia="SimSun" w:cs="Tahoma"/>
          <w:lang w:eastAsia="el-GR"/>
        </w:rPr>
        <w:t>ii. Have at least five years of professional experience in the design, organization and implementation of cultural and artistic events and especially theatrical productions acquired in managerial positions of a prestigious artistic or cultural organization in Greece or abroad, or professional experience in positions of responsibility acquired in the subjects of cultural management, curatorial studies, theatrical education, theatrical studies, theatrical critique and related disciplines, or recognized artistic work in theatre (stage direction acting coaching, playwriting,   acting or scenography) or related disciplines.</w:t>
      </w:r>
    </w:p>
    <w:p>
      <w:pPr>
        <w:spacing w:after="0" w:line="360" w:lineRule="auto"/>
        <w:jc w:val="both"/>
        <w:rPr>
          <w:rFonts w:ascii="Tahoma" w:hAnsi="Tahoma" w:eastAsia="SimSun" w:cs="Tahoma"/>
          <w:lang w:eastAsia="el-GR"/>
        </w:rPr>
      </w:pPr>
      <w:r>
        <w:rPr>
          <w:rFonts w:ascii="Tahoma" w:hAnsi="Tahoma" w:eastAsia="SimSun" w:cs="Tahoma"/>
          <w:lang w:eastAsia="el-GR"/>
        </w:rPr>
        <w:t>iii. Have a very good command of Greek and English,</w:t>
      </w:r>
      <w:r>
        <w:rPr>
          <w:rFonts w:ascii="Tahoma" w:hAnsi="Tahoma" w:cs="Tahoma"/>
        </w:rPr>
        <w:t xml:space="preserve"> </w:t>
      </w:r>
      <w:r>
        <w:rPr>
          <w:rFonts w:ascii="Tahoma" w:hAnsi="Tahoma" w:eastAsia="SimSun" w:cs="Tahoma"/>
          <w:bCs/>
          <w:lang w:eastAsia="el-GR"/>
        </w:rPr>
        <w:t>documented in accordance with the Annex</w:t>
      </w:r>
      <w:r>
        <w:rPr>
          <w:rFonts w:ascii="Tahoma" w:hAnsi="Tahoma" w:eastAsia="SimSun" w:cs="Tahoma"/>
          <w:lang w:eastAsia="el-GR"/>
        </w:rPr>
        <w:t xml:space="preserve"> of the ASEP (Supreme Council for Civil Personnel Selection) Language Competence Certificates.</w:t>
      </w:r>
    </w:p>
    <w:p>
      <w:pPr>
        <w:spacing w:after="0" w:line="360" w:lineRule="auto"/>
        <w:jc w:val="both"/>
        <w:rPr>
          <w:rFonts w:ascii="Tahoma" w:hAnsi="Tahoma" w:eastAsia="SimSun" w:cs="Tahoma"/>
          <w:b/>
          <w:bCs/>
          <w:lang w:eastAsia="el-GR"/>
        </w:rPr>
      </w:pPr>
    </w:p>
    <w:p>
      <w:pPr>
        <w:spacing w:after="0" w:line="360" w:lineRule="auto"/>
        <w:jc w:val="both"/>
        <w:rPr>
          <w:rFonts w:ascii="Tahoma" w:hAnsi="Tahoma" w:eastAsia="SimSun" w:cs="Tahoma"/>
          <w:b/>
          <w:bCs/>
          <w:lang w:eastAsia="el-GR"/>
        </w:rPr>
      </w:pPr>
      <w:r>
        <w:rPr>
          <w:rFonts w:ascii="Tahoma" w:hAnsi="Tahoma" w:eastAsia="SimSun" w:cs="Tahoma"/>
          <w:b/>
          <w:bCs/>
          <w:lang w:eastAsia="el-GR"/>
        </w:rPr>
        <w:t>2. ADDITIONAL - DESIRED QUALIFICATIONS.</w:t>
      </w:r>
    </w:p>
    <w:p>
      <w:pPr>
        <w:spacing w:after="0" w:line="360" w:lineRule="auto"/>
        <w:jc w:val="both"/>
        <w:rPr>
          <w:rFonts w:ascii="Tahoma" w:hAnsi="Tahoma" w:eastAsia="SimSun" w:cs="Tahoma"/>
          <w:b/>
          <w:bCs/>
          <w:lang w:eastAsia="el-GR"/>
        </w:rPr>
      </w:pPr>
    </w:p>
    <w:p>
      <w:pPr>
        <w:spacing w:after="0" w:line="360" w:lineRule="auto"/>
        <w:jc w:val="both"/>
        <w:rPr>
          <w:rFonts w:ascii="Tahoma" w:hAnsi="Tahoma" w:eastAsia="SimSun" w:cs="Tahoma"/>
          <w:bCs/>
          <w:lang w:eastAsia="el-GR"/>
        </w:rPr>
      </w:pPr>
      <w:r>
        <w:rPr>
          <w:rFonts w:ascii="Tahoma" w:hAnsi="Tahoma" w:eastAsia="SimSun" w:cs="Tahoma"/>
          <w:bCs/>
          <w:lang w:eastAsia="el-GR"/>
        </w:rPr>
        <w:t xml:space="preserve">i. A postgraduate degree taking at least one year or a doctorate or a foreign equivalent, recognized by DOATAP </w:t>
      </w:r>
      <w:r>
        <w:rPr>
          <w:rFonts w:ascii="Tahoma" w:hAnsi="Tahoma" w:eastAsia="SimSun" w:cs="Tahoma"/>
          <w:lang w:eastAsia="el-GR"/>
        </w:rPr>
        <w:t>(Hellenic NARIC)</w:t>
      </w:r>
      <w:r>
        <w:rPr>
          <w:rFonts w:ascii="Tahoma" w:hAnsi="Tahoma" w:eastAsia="SimSun" w:cs="Tahoma"/>
          <w:bCs/>
          <w:lang w:eastAsia="el-GR"/>
        </w:rPr>
        <w:t>, in the fields of theatre, theatrical studies, cultural management, performing arts, curatorial studies, fine arts, art history literature and related disciplines.</w:t>
      </w:r>
    </w:p>
    <w:p>
      <w:pPr>
        <w:spacing w:after="0" w:line="360" w:lineRule="auto"/>
        <w:jc w:val="both"/>
        <w:rPr>
          <w:rFonts w:ascii="Tahoma" w:hAnsi="Tahoma" w:eastAsia="SimSun" w:cs="Tahoma"/>
          <w:bCs/>
          <w:lang w:eastAsia="el-GR"/>
        </w:rPr>
      </w:pPr>
      <w:r>
        <w:rPr>
          <w:rFonts w:ascii="Tahoma" w:hAnsi="Tahoma" w:eastAsia="SimSun" w:cs="Tahoma"/>
          <w:bCs/>
          <w:lang w:eastAsia="el-GR"/>
        </w:rPr>
        <w:t>ii. Good command of at least one of the following foreign languages: French, German, Italian, Spanish and Russian, to be documented in accordance with the Annex of the ASEP (Supreme Council for Civil Personnel Selection) Language Competence Certificates.</w:t>
      </w:r>
    </w:p>
    <w:p>
      <w:pPr>
        <w:spacing w:after="0" w:line="360" w:lineRule="auto"/>
        <w:jc w:val="both"/>
        <w:rPr>
          <w:rFonts w:ascii="Tahoma" w:hAnsi="Tahoma" w:eastAsia="SimSun" w:cs="Tahoma"/>
          <w:bCs/>
          <w:lang w:eastAsia="el-GR"/>
        </w:rPr>
      </w:pPr>
      <w:r>
        <w:rPr>
          <w:rFonts w:ascii="Tahoma" w:hAnsi="Tahoma" w:eastAsia="SimSun" w:cs="Tahoma"/>
          <w:bCs/>
          <w:lang w:eastAsia="el-GR"/>
        </w:rPr>
        <w:t>iii. Publications of scientific papers and articles on theatre, history and theory of art, literature, cultural policy, cultural management, of which a part may have been published abroad and in foreign languages.</w:t>
      </w:r>
    </w:p>
    <w:p>
      <w:pPr>
        <w:spacing w:after="0" w:line="360" w:lineRule="auto"/>
        <w:jc w:val="both"/>
        <w:rPr>
          <w:rFonts w:ascii="Tahoma" w:hAnsi="Tahoma" w:eastAsia="SimSun" w:cs="Tahoma"/>
          <w:bCs/>
          <w:lang w:eastAsia="el-GR"/>
        </w:rPr>
      </w:pPr>
      <w:r>
        <w:rPr>
          <w:rFonts w:ascii="Tahoma" w:hAnsi="Tahoma" w:eastAsia="SimSun" w:cs="Tahoma"/>
          <w:bCs/>
          <w:lang w:eastAsia="el-GR"/>
        </w:rPr>
        <w:t>3. A civil servant may be appointed to the post, including members of the faculty of higher education institutions, as well as a civil servant of a NPDD (Legal Public Entity), as well as a para-statal body employee who holds the qualifications referred to in paragraph III.1.</w:t>
      </w:r>
    </w:p>
    <w:p>
      <w:pPr>
        <w:spacing w:after="0" w:line="360" w:lineRule="auto"/>
        <w:jc w:val="both"/>
        <w:rPr>
          <w:rFonts w:ascii="Tahoma" w:hAnsi="Tahoma" w:eastAsia="SimSun" w:cs="Tahoma"/>
          <w:bCs/>
          <w:lang w:eastAsia="el-GR"/>
        </w:rPr>
      </w:pPr>
      <w:r>
        <w:rPr>
          <w:rFonts w:ascii="Tahoma" w:hAnsi="Tahoma" w:eastAsia="SimSun" w:cs="Tahoma"/>
          <w:bCs/>
          <w:lang w:eastAsia="el-GR"/>
        </w:rPr>
        <w:t>4. The qualification conditions and requirements must be met at the deadline of the submission of applications.</w:t>
      </w:r>
    </w:p>
    <w:p>
      <w:pPr>
        <w:spacing w:after="0" w:line="360" w:lineRule="auto"/>
        <w:jc w:val="both"/>
        <w:rPr>
          <w:rFonts w:ascii="Tahoma" w:hAnsi="Tahoma" w:eastAsia="SimSun" w:cs="Tahoma"/>
          <w:bCs/>
          <w:lang w:eastAsia="el-GR"/>
        </w:rPr>
      </w:pPr>
    </w:p>
    <w:p>
      <w:pPr>
        <w:spacing w:after="0" w:line="360" w:lineRule="auto"/>
        <w:jc w:val="both"/>
        <w:rPr>
          <w:rFonts w:ascii="Tahoma" w:hAnsi="Tahoma" w:eastAsia="SimSun" w:cs="Tahoma"/>
          <w:b/>
          <w:bCs/>
          <w:lang w:eastAsia="el-GR"/>
        </w:rPr>
      </w:pPr>
      <w:r>
        <w:rPr>
          <w:rFonts w:ascii="Tahoma" w:hAnsi="Tahoma" w:eastAsia="SimSun" w:cs="Tahoma"/>
          <w:b/>
          <w:bCs/>
          <w:lang w:eastAsia="el-GR"/>
        </w:rPr>
        <w:t>IV. Impediments-Incompatibilities-Conflict of interests</w:t>
      </w:r>
    </w:p>
    <w:p>
      <w:pPr>
        <w:spacing w:after="0" w:line="360" w:lineRule="auto"/>
        <w:jc w:val="both"/>
        <w:rPr>
          <w:rFonts w:ascii="Tahoma" w:hAnsi="Tahoma" w:eastAsia="SimSun" w:cs="Tahoma"/>
          <w:b/>
          <w:bCs/>
          <w:lang w:eastAsia="el-GR"/>
        </w:rPr>
      </w:pPr>
    </w:p>
    <w:p>
      <w:pPr>
        <w:spacing w:after="0" w:line="360" w:lineRule="auto"/>
        <w:jc w:val="both"/>
        <w:rPr>
          <w:rFonts w:ascii="Tahoma" w:hAnsi="Tahoma" w:eastAsia="SimSun" w:cs="Tahoma"/>
          <w:bCs/>
          <w:lang w:eastAsia="el-GR"/>
        </w:rPr>
      </w:pPr>
      <w:r>
        <w:rPr>
          <w:rFonts w:ascii="Tahoma" w:hAnsi="Tahoma" w:eastAsia="SimSun" w:cs="Tahoma"/>
          <w:bCs/>
          <w:lang w:eastAsia="el-GR"/>
        </w:rPr>
        <w:t>1. The following are not eligible to apply for the post:</w:t>
      </w:r>
    </w:p>
    <w:p>
      <w:pPr>
        <w:spacing w:after="0" w:line="360" w:lineRule="auto"/>
        <w:jc w:val="both"/>
        <w:rPr>
          <w:rFonts w:ascii="Tahoma" w:hAnsi="Tahoma" w:eastAsia="SimSun" w:cs="Tahoma"/>
          <w:bCs/>
          <w:lang w:eastAsia="el-GR"/>
        </w:rPr>
      </w:pPr>
      <w:r>
        <w:rPr>
          <w:rFonts w:ascii="Tahoma" w:hAnsi="Tahoma" w:eastAsia="SimSun" w:cs="Tahoma"/>
          <w:bCs/>
          <w:lang w:eastAsia="el-GR"/>
        </w:rPr>
        <w:t>i. Persons convicted irrevocably by a domestic or foreign court for felony to any penalty for theft, embezzlement (common or at service), fraud, extortion, forgery, attorneys treachery, bribery, suppression by an official, misappropriation, breach of duty, repeated slandering, and any crime against sexual freedom or a crime of economic exploitation of sexuality.</w:t>
      </w:r>
    </w:p>
    <w:p>
      <w:pPr>
        <w:spacing w:after="0" w:line="360" w:lineRule="auto"/>
        <w:jc w:val="both"/>
        <w:rPr>
          <w:rFonts w:ascii="Tahoma" w:hAnsi="Tahoma" w:eastAsia="SimSun" w:cs="Tahoma"/>
          <w:bCs/>
          <w:lang w:eastAsia="el-GR"/>
        </w:rPr>
      </w:pPr>
      <w:r>
        <w:rPr>
          <w:rFonts w:ascii="Tahoma" w:hAnsi="Tahoma" w:eastAsia="SimSun" w:cs="Tahoma"/>
          <w:bCs/>
          <w:lang w:eastAsia="el-GR"/>
        </w:rPr>
        <w:t>ii. Persons brought to justice by a definite court order, accused for felony or misdemeanor offences for the aforementioned reasons, even if the offense is time-barred.</w:t>
      </w:r>
    </w:p>
    <w:p>
      <w:pPr>
        <w:spacing w:after="0" w:line="360" w:lineRule="auto"/>
        <w:jc w:val="both"/>
        <w:rPr>
          <w:rFonts w:ascii="Tahoma" w:hAnsi="Tahoma" w:eastAsia="SimSun" w:cs="Tahoma"/>
          <w:bCs/>
          <w:lang w:eastAsia="el-GR"/>
        </w:rPr>
      </w:pPr>
      <w:r>
        <w:rPr>
          <w:rFonts w:ascii="Tahoma" w:hAnsi="Tahoma" w:eastAsia="SimSun" w:cs="Tahoma"/>
          <w:bCs/>
          <w:lang w:eastAsia="el-GR"/>
        </w:rPr>
        <w:t>iii. Persons deprived of their political rights by conviction, for as long as this deprivation remains in effect.</w:t>
      </w:r>
    </w:p>
    <w:p>
      <w:pPr>
        <w:spacing w:after="0" w:line="360" w:lineRule="auto"/>
        <w:jc w:val="both"/>
        <w:rPr>
          <w:rFonts w:ascii="Tahoma" w:hAnsi="Tahoma" w:eastAsia="SimSun" w:cs="Tahoma"/>
          <w:bCs/>
          <w:lang w:eastAsia="el-GR"/>
        </w:rPr>
      </w:pPr>
      <w:r>
        <w:rPr>
          <w:rFonts w:ascii="Tahoma" w:hAnsi="Tahoma" w:eastAsia="SimSun" w:cs="Tahoma"/>
          <w:bCs/>
          <w:lang w:eastAsia="el-GR"/>
        </w:rPr>
        <w:t>iv. Persons discharged from a position in public service or O.T.A. (local and regional authorities) or other public sector legal entity, due to the imposition of the disciplinary punishment of permanent termination of the employment contract for a serious reason, due to their fault, for five years since their dismissal.</w:t>
      </w:r>
    </w:p>
    <w:p>
      <w:pPr>
        <w:spacing w:after="0" w:line="360" w:lineRule="auto"/>
        <w:jc w:val="both"/>
        <w:rPr>
          <w:rFonts w:ascii="Tahoma" w:hAnsi="Tahoma" w:eastAsia="SimSun" w:cs="Tahoma"/>
          <w:bCs/>
          <w:lang w:eastAsia="el-GR"/>
        </w:rPr>
      </w:pPr>
      <w:r>
        <w:rPr>
          <w:rFonts w:ascii="Tahoma" w:hAnsi="Tahoma" w:eastAsia="SimSun" w:cs="Tahoma"/>
          <w:bCs/>
          <w:lang w:eastAsia="el-GR"/>
        </w:rPr>
        <w:t>v. Public service or O.T.A. (local and regional authorities) employees or other legal person governed by public law employees, if they undergo a probationary service or have been suspended from duty or service, or have been fined to any disciplinary sanction higher than the equivalent sum of four (4) months’ salaries for any disciplinary offense, until the sentence is removed, in accordance with article 145 of the Code of Civil Servants.</w:t>
      </w:r>
    </w:p>
    <w:p>
      <w:pPr>
        <w:spacing w:after="0" w:line="360" w:lineRule="auto"/>
        <w:jc w:val="both"/>
        <w:rPr>
          <w:rFonts w:ascii="Tahoma" w:hAnsi="Tahoma" w:eastAsia="SimSun" w:cs="Tahoma"/>
          <w:bCs/>
          <w:lang w:eastAsia="el-GR"/>
        </w:rPr>
      </w:pPr>
      <w:r>
        <w:rPr>
          <w:rFonts w:ascii="Tahoma" w:hAnsi="Tahoma" w:eastAsia="SimSun" w:cs="Tahoma"/>
          <w:bCs/>
          <w:lang w:eastAsia="el-GR"/>
        </w:rPr>
        <w:t>vi. Persons in custody (full or partial) or under subsidiary custody (full or partial).</w:t>
      </w:r>
    </w:p>
    <w:p>
      <w:pPr>
        <w:spacing w:after="0" w:line="360" w:lineRule="auto"/>
        <w:jc w:val="both"/>
        <w:rPr>
          <w:rFonts w:ascii="Tahoma" w:hAnsi="Tahoma" w:eastAsia="SimSun" w:cs="Tahoma"/>
          <w:bCs/>
          <w:lang w:eastAsia="el-GR"/>
        </w:rPr>
      </w:pPr>
      <w:r>
        <w:rPr>
          <w:rFonts w:ascii="Tahoma" w:hAnsi="Tahoma" w:eastAsia="SimSun" w:cs="Tahoma"/>
          <w:bCs/>
          <w:lang w:eastAsia="el-GR"/>
        </w:rPr>
        <w:t>vii. Male applicants who have not fulfilled their compulsory military service obligations by the date of their appointment or have not been legally exempted from them.</w:t>
      </w:r>
    </w:p>
    <w:p>
      <w:pPr>
        <w:spacing w:after="0" w:line="360" w:lineRule="auto"/>
        <w:jc w:val="both"/>
        <w:rPr>
          <w:rFonts w:ascii="Tahoma" w:hAnsi="Tahoma" w:eastAsia="SimSun" w:cs="Tahoma"/>
          <w:bCs/>
          <w:lang w:eastAsia="el-GR"/>
        </w:rPr>
      </w:pPr>
      <w:r>
        <w:rPr>
          <w:rFonts w:ascii="Tahoma" w:hAnsi="Tahoma" w:eastAsia="SimSun" w:cs="Tahoma"/>
          <w:bCs/>
          <w:lang w:eastAsia="el-GR"/>
        </w:rPr>
        <w:t>Fulfillment of the military service obligations is not applicable to citizens of states of the European Union, for whom no such obligation is required in their country of origin and who have been naturalized as Greek citizens.</w:t>
      </w:r>
    </w:p>
    <w:p>
      <w:pPr>
        <w:tabs>
          <w:tab w:val="left" w:pos="1792"/>
        </w:tabs>
        <w:spacing w:line="360" w:lineRule="auto"/>
        <w:jc w:val="both"/>
        <w:rPr>
          <w:rFonts w:ascii="Tahoma" w:hAnsi="Tahoma" w:cs="Tahoma"/>
        </w:rPr>
      </w:pPr>
    </w:p>
    <w:p>
      <w:pPr>
        <w:tabs>
          <w:tab w:val="left" w:pos="1792"/>
        </w:tabs>
        <w:spacing w:line="360" w:lineRule="auto"/>
        <w:jc w:val="both"/>
        <w:rPr>
          <w:rFonts w:ascii="Tahoma" w:hAnsi="Tahoma" w:cs="Tahoma"/>
        </w:rPr>
      </w:pPr>
      <w:r>
        <w:rPr>
          <w:rFonts w:ascii="Tahoma" w:hAnsi="Tahoma" w:cs="Tahoma"/>
        </w:rPr>
        <w:t>2. In regard to the incompatibilities at the performance of the duties of the post, as well as the issues of conflict of interests, the provisions of articles 20-23 of Law 4440/2016 (A’ 224) apply accordingly. It is explicitly stated that the person appointed as the Artistic Director of the National Theatre of Greece is prohibited during his / her term to engage in any kind of professional activity in the private sector, identical or similar to the activities of the National Theatre of Greece, and in any activity of private interest that may affect the impartial and objective performance of his / her duties. During his term of office the artistic director may conclude with the Theatre at most two works contracts for artistic performances, within the repertoire or not, in each artistic season, as provided for in article 3 par. 16 of Law 2273 / 1994, as in force after its replacement by the provisions of article 52 of Law 4415/16 (A’ 159).</w:t>
      </w:r>
    </w:p>
    <w:p>
      <w:pPr>
        <w:tabs>
          <w:tab w:val="left" w:pos="1792"/>
        </w:tabs>
        <w:spacing w:line="360" w:lineRule="auto"/>
        <w:jc w:val="both"/>
        <w:rPr>
          <w:rFonts w:ascii="Tahoma" w:hAnsi="Tahoma" w:cs="Tahoma"/>
        </w:rPr>
      </w:pPr>
      <w:r>
        <w:rPr>
          <w:rFonts w:ascii="Tahoma" w:hAnsi="Tahoma" w:cs="Tahoma"/>
        </w:rPr>
        <w:t>3. The aforementioned impediments, incompatibilities and reasons of conflict of interest shall not be present at the deadline for the submission of applications, as well as at the time of the appointment of the selected Artistic Director of the National Theatre of Greece</w:t>
      </w:r>
    </w:p>
    <w:p>
      <w:pPr>
        <w:tabs>
          <w:tab w:val="left" w:pos="1792"/>
        </w:tabs>
        <w:spacing w:line="360" w:lineRule="auto"/>
        <w:jc w:val="both"/>
        <w:rPr>
          <w:rFonts w:ascii="Tahoma" w:hAnsi="Tahoma" w:cs="Tahoma"/>
        </w:rPr>
      </w:pPr>
    </w:p>
    <w:p>
      <w:pPr>
        <w:tabs>
          <w:tab w:val="left" w:pos="1792"/>
        </w:tabs>
        <w:spacing w:line="360" w:lineRule="auto"/>
        <w:jc w:val="both"/>
        <w:rPr>
          <w:rFonts w:ascii="Tahoma" w:hAnsi="Tahoma" w:cs="Tahoma"/>
        </w:rPr>
      </w:pPr>
    </w:p>
    <w:p>
      <w:pPr>
        <w:tabs>
          <w:tab w:val="left" w:pos="1792"/>
        </w:tabs>
        <w:spacing w:line="360" w:lineRule="auto"/>
        <w:jc w:val="both"/>
        <w:rPr>
          <w:rFonts w:ascii="Tahoma" w:hAnsi="Tahoma" w:cs="Tahoma"/>
          <w:b/>
        </w:rPr>
      </w:pPr>
      <w:r>
        <w:rPr>
          <w:rFonts w:ascii="Tahoma" w:hAnsi="Tahoma" w:cs="Tahoma"/>
          <w:b/>
        </w:rPr>
        <w:t>V. SUBMISSION OF THE APPLICATION - DOCUMENTATION</w:t>
      </w:r>
    </w:p>
    <w:p>
      <w:pPr>
        <w:tabs>
          <w:tab w:val="left" w:pos="1792"/>
        </w:tabs>
        <w:spacing w:line="360" w:lineRule="auto"/>
        <w:jc w:val="both"/>
        <w:rPr>
          <w:rFonts w:ascii="Tahoma" w:hAnsi="Tahoma" w:cs="Tahoma"/>
        </w:rPr>
      </w:pPr>
      <w:r>
        <w:rPr>
          <w:rFonts w:ascii="Tahoma" w:hAnsi="Tahoma" w:cs="Tahoma"/>
        </w:rPr>
        <w:t>1. The applicants for participation in the selection process of the Artistic Director of the National Theatre of Greece shall submit an application within thirty (30) days after the day following the date of the last publication of this invitation to the daily press, avowedly publicized by a relevant announcement on the website of the Ministry of Culture and Sports.</w:t>
      </w:r>
    </w:p>
    <w:p>
      <w:pPr>
        <w:tabs>
          <w:tab w:val="left" w:pos="1792"/>
        </w:tabs>
        <w:spacing w:line="360" w:lineRule="auto"/>
        <w:jc w:val="both"/>
        <w:rPr>
          <w:rFonts w:ascii="Tahoma" w:hAnsi="Tahoma" w:cs="Tahoma"/>
        </w:rPr>
      </w:pPr>
      <w:r>
        <w:rPr>
          <w:rFonts w:ascii="Tahoma" w:hAnsi="Tahoma" w:cs="Tahoma"/>
        </w:rPr>
        <w:t>2. The following should be attached to the application:</w:t>
      </w:r>
    </w:p>
    <w:p>
      <w:pPr>
        <w:tabs>
          <w:tab w:val="left" w:pos="1792"/>
        </w:tabs>
        <w:spacing w:line="360" w:lineRule="auto"/>
        <w:jc w:val="both"/>
        <w:rPr>
          <w:rFonts w:ascii="Tahoma" w:hAnsi="Tahoma" w:cs="Tahoma"/>
        </w:rPr>
      </w:pPr>
      <w:r>
        <w:rPr>
          <w:rFonts w:ascii="Tahoma" w:hAnsi="Tahoma" w:cs="Tahoma"/>
        </w:rPr>
        <w:t>i. a curriculum vitae listing the studies, work, experience, activity and other qualifications of the applicants,</w:t>
      </w:r>
    </w:p>
    <w:p>
      <w:pPr>
        <w:tabs>
          <w:tab w:val="left" w:pos="1792"/>
        </w:tabs>
        <w:spacing w:line="360" w:lineRule="auto"/>
        <w:jc w:val="both"/>
        <w:rPr>
          <w:rFonts w:ascii="Tahoma" w:hAnsi="Tahoma" w:cs="Tahoma"/>
        </w:rPr>
      </w:pPr>
      <w:r>
        <w:rPr>
          <w:rFonts w:ascii="Tahoma" w:hAnsi="Tahoma" w:cs="Tahoma"/>
        </w:rPr>
        <w:t>ii. a solemn declaration of Law 1599/186 certifying the absence of the impediments, incompatibilities and reasons of conflict of interest referred to herein.</w:t>
      </w:r>
    </w:p>
    <w:p>
      <w:pPr>
        <w:tabs>
          <w:tab w:val="left" w:pos="1792"/>
        </w:tabs>
        <w:spacing w:line="360" w:lineRule="auto"/>
        <w:jc w:val="both"/>
        <w:rPr>
          <w:rFonts w:ascii="Tahoma" w:hAnsi="Tahoma" w:cs="Tahoma"/>
        </w:rPr>
      </w:pPr>
      <w:r>
        <w:rPr>
          <w:rFonts w:ascii="Tahoma" w:hAnsi="Tahoma" w:cs="Tahoma"/>
        </w:rPr>
        <w:t>iii. a. all the necessary supporting documents (certificates, attestations, academic degrees or any other official document supporting the selection criteria) in clear photocopies of the original documents or their exact copies, provided they are authentic state documents and clear photocopies of private domestic documents certified by a lawyer, as well as clear photocopies of the originals of private documents endorsed by public services and agencies and the para-state sector,</w:t>
      </w:r>
    </w:p>
    <w:p>
      <w:pPr>
        <w:tabs>
          <w:tab w:val="left" w:pos="1792"/>
        </w:tabs>
        <w:spacing w:line="360" w:lineRule="auto"/>
        <w:jc w:val="both"/>
        <w:rPr>
          <w:rFonts w:ascii="Tahoma" w:hAnsi="Tahoma" w:cs="Tahoma"/>
        </w:rPr>
      </w:pPr>
      <w:r>
        <w:rPr>
          <w:rFonts w:ascii="Tahoma" w:hAnsi="Tahoma" w:cs="Tahoma"/>
        </w:rPr>
        <w:t>b. the certificates, the attestations and the foreign certifications must be officially translated to the Greek language by the competent authority of the Ministry of Foreign Affairs or the Embassy or Consulate of a foreign country in Greece or by a lawyer and must be submitted in clear photocopies of copies of documents issued by foreign authorities and certified by a lawyer as well as in clear photocopies of copies of foreign private documents certified by a lawyer.</w:t>
      </w:r>
    </w:p>
    <w:p>
      <w:pPr>
        <w:tabs>
          <w:tab w:val="left" w:pos="1792"/>
        </w:tabs>
        <w:spacing w:line="360" w:lineRule="auto"/>
        <w:jc w:val="both"/>
        <w:rPr>
          <w:rFonts w:ascii="Tahoma" w:hAnsi="Tahoma" w:cs="Tahoma"/>
        </w:rPr>
      </w:pPr>
      <w:r>
        <w:rPr>
          <w:rFonts w:ascii="Tahoma" w:hAnsi="Tahoma" w:cs="Tahoma"/>
        </w:rPr>
        <w:t>iv. a proposal - memorandum summarizing their vision and their objectives for the National Theatre of Greece, the framework for their realization, as well as their proposals for the best possible achievement of the goals detailed herein and in accordance with the founding law of the National Theatre of Greece</w:t>
      </w:r>
    </w:p>
    <w:p>
      <w:pPr>
        <w:tabs>
          <w:tab w:val="left" w:pos="1792"/>
        </w:tabs>
        <w:spacing w:line="360" w:lineRule="auto"/>
        <w:jc w:val="both"/>
        <w:rPr>
          <w:rFonts w:ascii="Tahoma" w:hAnsi="Tahoma" w:cs="Tahoma"/>
        </w:rPr>
      </w:pPr>
      <w:r>
        <w:rPr>
          <w:rFonts w:ascii="Tahoma" w:hAnsi="Tahoma" w:cs="Tahoma"/>
        </w:rPr>
        <w:t>3. The applications and all the accompanying documents shall be submitted in Greek or English, provided that in the latter case an official translation is attached. In the event of inconsistencies of interpretation, the official translation in the Greek language shall be determinative. The certificates of foreign authorities shall be accepted if they are accompanied by an official translation into the Greek language. If requested, the original documents shall be submitted for review.</w:t>
      </w:r>
    </w:p>
    <w:p>
      <w:pPr>
        <w:tabs>
          <w:tab w:val="left" w:pos="1792"/>
        </w:tabs>
        <w:spacing w:line="360" w:lineRule="auto"/>
        <w:jc w:val="both"/>
        <w:rPr>
          <w:rFonts w:ascii="Tahoma" w:hAnsi="Tahoma" w:cs="Tahoma"/>
        </w:rPr>
      </w:pPr>
      <w:r>
        <w:rPr>
          <w:rFonts w:ascii="Tahoma" w:hAnsi="Tahoma" w:cs="Tahoma"/>
        </w:rPr>
        <w:t>4. In the event of the submission of supporting documents through a representative, the relevant authorization must also be attached.</w:t>
      </w:r>
    </w:p>
    <w:p>
      <w:pPr>
        <w:tabs>
          <w:tab w:val="left" w:pos="1792"/>
        </w:tabs>
        <w:spacing w:line="360" w:lineRule="auto"/>
        <w:jc w:val="both"/>
        <w:rPr>
          <w:rFonts w:ascii="Tahoma" w:hAnsi="Tahoma" w:cs="Tahoma"/>
        </w:rPr>
      </w:pPr>
      <w:r>
        <w:rPr>
          <w:rFonts w:ascii="Tahoma" w:hAnsi="Tahoma" w:cs="Tahoma"/>
        </w:rPr>
        <w:t>5. The applications and the supporting documents shall be submitted either: a) by filing them in the central registry of the Ministry of Culture and Sports, b) by e-mail at protocol.dd@culture.gr c) by registered mail or by courier service. (Ministry of Culture and Sports, 20-22 Bouboulinas, PC 10682, Athens).</w:t>
      </w:r>
    </w:p>
    <w:p>
      <w:pPr>
        <w:tabs>
          <w:tab w:val="left" w:pos="1792"/>
        </w:tabs>
        <w:spacing w:line="360" w:lineRule="auto"/>
        <w:jc w:val="both"/>
        <w:rPr>
          <w:rFonts w:ascii="Tahoma" w:hAnsi="Tahoma" w:cs="Tahoma"/>
        </w:rPr>
      </w:pPr>
      <w:r>
        <w:rPr>
          <w:rFonts w:ascii="Tahoma" w:hAnsi="Tahoma" w:cs="Tahoma"/>
        </w:rPr>
        <w:t>6. If the application files are sent by post or by courier service, the date of the dispatch shall be considered as the date of submission, as evidenced by the postmark or the courier service stamping respectively. The envelope must bear the text: Application for participation in the public call for the post of the Artistic Director of the National Theatre of Greece</w:t>
      </w:r>
    </w:p>
    <w:p>
      <w:pPr>
        <w:tabs>
          <w:tab w:val="left" w:pos="1792"/>
        </w:tabs>
        <w:spacing w:line="360" w:lineRule="auto"/>
        <w:jc w:val="both"/>
        <w:rPr>
          <w:rFonts w:ascii="Tahoma" w:hAnsi="Tahoma" w:cs="Tahoma"/>
        </w:rPr>
      </w:pPr>
      <w:r>
        <w:rPr>
          <w:rFonts w:ascii="Tahoma" w:hAnsi="Tahoma" w:cs="Tahoma"/>
        </w:rPr>
        <w:t>7. The qualifications referred to in the application and / or in the curriculum vitae, but are not duly substantiated by the submission of the relevant supporting documents shall not be taken into account for the final ranking of the applicants.</w:t>
      </w:r>
    </w:p>
    <w:p>
      <w:pPr>
        <w:tabs>
          <w:tab w:val="left" w:pos="1792"/>
        </w:tabs>
        <w:spacing w:line="360" w:lineRule="auto"/>
        <w:jc w:val="both"/>
        <w:rPr>
          <w:rFonts w:ascii="Tahoma" w:hAnsi="Tahoma" w:cs="Tahoma"/>
          <w:b/>
        </w:rPr>
      </w:pPr>
      <w:r>
        <w:rPr>
          <w:rFonts w:ascii="Tahoma" w:hAnsi="Tahoma" w:cs="Tahoma"/>
          <w:b/>
        </w:rPr>
        <w:t>VI. PUBLICATION OF THE INVITATION</w:t>
      </w:r>
    </w:p>
    <w:p>
      <w:pPr>
        <w:tabs>
          <w:tab w:val="left" w:pos="1792"/>
        </w:tabs>
        <w:spacing w:line="360" w:lineRule="auto"/>
        <w:jc w:val="both"/>
        <w:rPr>
          <w:rFonts w:ascii="Tahoma" w:hAnsi="Tahoma" w:cs="Tahoma"/>
        </w:rPr>
      </w:pPr>
      <w:r>
        <w:rPr>
          <w:rFonts w:ascii="Tahoma" w:hAnsi="Tahoma" w:cs="Tahoma"/>
        </w:rPr>
        <w:t>The Announcement of the call shall be posted on the respective websites of the Hellenic Ministry of Culture and Sports and the National Theatre of Greece in Greek and English along with the Annex of the ASEP (Supreme Council for Civil Personnel Selection) Language Competence Certificates. In addition, a summary of the Announcement of the call shall be published in two domestic national newspapers.</w:t>
      </w:r>
    </w:p>
    <w:p>
      <w:pPr>
        <w:tabs>
          <w:tab w:val="left" w:pos="1792"/>
        </w:tabs>
        <w:spacing w:line="360" w:lineRule="auto"/>
        <w:jc w:val="both"/>
        <w:rPr>
          <w:rFonts w:ascii="Tahoma" w:hAnsi="Tahoma" w:cs="Tahoma"/>
          <w:b/>
        </w:rPr>
      </w:pPr>
      <w:r>
        <w:rPr>
          <w:rFonts w:ascii="Tahoma" w:hAnsi="Tahoma" w:cs="Tahoma"/>
          <w:b/>
        </w:rPr>
        <w:t xml:space="preserve">VII. EVALUATION COMMITTEE ESTABLISHMENT PROCEDURE </w:t>
      </w:r>
    </w:p>
    <w:p>
      <w:pPr>
        <w:tabs>
          <w:tab w:val="left" w:pos="1792"/>
        </w:tabs>
        <w:spacing w:line="360" w:lineRule="auto"/>
        <w:jc w:val="both"/>
        <w:rPr>
          <w:rFonts w:ascii="Tahoma" w:hAnsi="Tahoma" w:cs="Tahoma"/>
        </w:rPr>
      </w:pPr>
      <w:r>
        <w:rPr>
          <w:rFonts w:ascii="Tahoma" w:hAnsi="Tahoma" w:cs="Tahoma"/>
        </w:rPr>
        <w:t>A five-member committee consisting of persons of recognized prestige in the field of Culture and specifically in the art of theatre or other arts and members of the faculty of higher education institutions shall be established by decision of the Minister of Culture and Sports, for the evaluation of the applications submitted in accordance with this call.</w:t>
      </w:r>
    </w:p>
    <w:p>
      <w:pPr>
        <w:spacing w:line="360" w:lineRule="auto"/>
        <w:jc w:val="both"/>
        <w:rPr>
          <w:rFonts w:ascii="Tahoma" w:hAnsi="Tahoma" w:cs="Tahoma"/>
          <w:b/>
        </w:rPr>
      </w:pPr>
      <w:r>
        <w:rPr>
          <w:rFonts w:ascii="Tahoma" w:hAnsi="Tahoma" w:cs="Tahoma"/>
          <w:b/>
        </w:rPr>
        <w:t>VIII. EVALUATION PROCESS</w:t>
      </w:r>
    </w:p>
    <w:p>
      <w:pPr>
        <w:spacing w:line="360" w:lineRule="auto"/>
        <w:jc w:val="both"/>
        <w:rPr>
          <w:rFonts w:ascii="Tahoma" w:hAnsi="Tahoma" w:cs="Tahoma"/>
        </w:rPr>
      </w:pPr>
      <w:r>
        <w:rPr>
          <w:rFonts w:ascii="Tahoma" w:hAnsi="Tahoma" w:cs="Tahoma"/>
        </w:rPr>
        <w:t>1. The Evaluation Committee, upon receiving the application files, shall be convened in a meeting to appraise the applications.</w:t>
      </w:r>
    </w:p>
    <w:p>
      <w:pPr>
        <w:spacing w:after="0" w:line="360" w:lineRule="auto"/>
        <w:jc w:val="both"/>
        <w:rPr>
          <w:rFonts w:ascii="Tahoma" w:hAnsi="Tahoma" w:cs="Tahoma"/>
        </w:rPr>
      </w:pPr>
      <w:r>
        <w:rPr>
          <w:rFonts w:ascii="Tahoma" w:hAnsi="Tahoma" w:cs="Tahoma"/>
        </w:rPr>
        <w:t>2. The Evaluation Committee shall first examine the admissibility of the candidates' applications. Applications that are overdue or lack the required supporting documents shall be rejected as inadmissible and shall be excluded from the next stage of the procedure by a decision of the Evaluation Committee. Candidates who do not meet the terms of the call are excluded from the further procedure by a decision of the Evaluation Committee.</w:t>
      </w:r>
    </w:p>
    <w:p>
      <w:pPr>
        <w:spacing w:after="0" w:line="360" w:lineRule="auto"/>
        <w:jc w:val="both"/>
        <w:rPr>
          <w:rFonts w:ascii="Tahoma" w:hAnsi="Tahoma" w:cs="Tahoma"/>
        </w:rPr>
      </w:pPr>
      <w:r>
        <w:rPr>
          <w:rFonts w:ascii="Tahoma" w:hAnsi="Tahoma" w:cs="Tahoma"/>
        </w:rPr>
        <w:t>3. Subsequently, the Committee shall award credit points to each candidate whose application has been declared admissible on the basis of criteria relating to: (a) scientific qualifications; and (b) professional experience and the experience in managerial positions, and in particular:</w:t>
      </w:r>
    </w:p>
    <w:p>
      <w:pPr>
        <w:spacing w:after="0" w:line="360" w:lineRule="auto"/>
        <w:jc w:val="both"/>
        <w:rPr>
          <w:rFonts w:ascii="Tahoma" w:hAnsi="Tahoma" w:cs="Tahoma"/>
        </w:rPr>
      </w:pPr>
      <w:r>
        <w:rPr>
          <w:rFonts w:ascii="Tahoma" w:hAnsi="Tahoma" w:cs="Tahoma"/>
        </w:rPr>
        <w:t>a) Scientific qualifications shall be awarded the following credit points:</w:t>
      </w:r>
    </w:p>
    <w:p>
      <w:pPr>
        <w:spacing w:after="0" w:line="360" w:lineRule="auto"/>
        <w:jc w:val="both"/>
        <w:rPr>
          <w:rFonts w:ascii="Tahoma" w:hAnsi="Tahoma" w:cs="Tahoma"/>
        </w:rPr>
      </w:pPr>
      <w:r>
        <w:rPr>
          <w:rFonts w:ascii="Tahoma" w:hAnsi="Tahoma" w:cs="Tahoma"/>
        </w:rPr>
        <w:t xml:space="preserve">aa) The applicant's main university degree is awarded with </w:t>
      </w:r>
      <w:r>
        <w:rPr>
          <w:rFonts w:ascii="Tahoma" w:hAnsi="Tahoma" w:cs="Tahoma"/>
          <w:b/>
        </w:rPr>
        <w:t>100</w:t>
      </w:r>
      <w:r>
        <w:rPr>
          <w:rFonts w:ascii="Tahoma" w:hAnsi="Tahoma" w:cs="Tahoma"/>
        </w:rPr>
        <w:t xml:space="preserve"> credit points, as well as the university degree of theatrical studies, The degree of drama schools is awarded with </w:t>
      </w:r>
      <w:r>
        <w:rPr>
          <w:rFonts w:ascii="Tahoma" w:hAnsi="Tahoma" w:cs="Tahoma"/>
          <w:b/>
        </w:rPr>
        <w:t>50</w:t>
      </w:r>
      <w:r>
        <w:rPr>
          <w:rFonts w:ascii="Tahoma" w:hAnsi="Tahoma" w:cs="Tahoma"/>
        </w:rPr>
        <w:t xml:space="preserve"> credit points.</w:t>
      </w:r>
    </w:p>
    <w:p>
      <w:pPr>
        <w:spacing w:after="0" w:line="360" w:lineRule="auto"/>
        <w:jc w:val="both"/>
        <w:rPr>
          <w:rFonts w:ascii="Tahoma" w:hAnsi="Tahoma" w:cs="Tahoma"/>
        </w:rPr>
      </w:pPr>
      <w:r>
        <w:rPr>
          <w:rFonts w:ascii="Tahoma" w:hAnsi="Tahoma" w:cs="Tahoma"/>
        </w:rPr>
        <w:t xml:space="preserve">bb) The other academic degrees of the equivalent academic level with the main academic degree, are awarded with </w:t>
      </w:r>
      <w:r>
        <w:rPr>
          <w:rFonts w:ascii="Tahoma" w:hAnsi="Tahoma" w:cs="Tahoma"/>
          <w:b/>
        </w:rPr>
        <w:t xml:space="preserve">30 </w:t>
      </w:r>
      <w:r>
        <w:rPr>
          <w:rFonts w:ascii="Tahoma" w:hAnsi="Tahoma" w:cs="Tahoma"/>
        </w:rPr>
        <w:t>credit points each.</w:t>
      </w:r>
    </w:p>
    <w:p>
      <w:pPr>
        <w:spacing w:after="0" w:line="360" w:lineRule="auto"/>
        <w:jc w:val="both"/>
        <w:rPr>
          <w:rFonts w:ascii="Tahoma" w:hAnsi="Tahoma" w:cs="Tahoma"/>
        </w:rPr>
      </w:pPr>
      <w:r>
        <w:rPr>
          <w:rFonts w:ascii="Tahoma" w:hAnsi="Tahoma" w:cs="Tahoma"/>
        </w:rPr>
        <w:t xml:space="preserve">cc) The postgraduate degree in the scientific fields referred to in the first paragraph of term III.2. herein, of at least annual duration, is awarded with </w:t>
      </w:r>
      <w:r>
        <w:rPr>
          <w:rFonts w:ascii="Tahoma" w:hAnsi="Tahoma" w:cs="Tahoma"/>
          <w:b/>
        </w:rPr>
        <w:t>150</w:t>
      </w:r>
      <w:r>
        <w:rPr>
          <w:rFonts w:ascii="Tahoma" w:hAnsi="Tahoma" w:cs="Tahoma"/>
        </w:rPr>
        <w:t xml:space="preserve"> points.</w:t>
      </w:r>
    </w:p>
    <w:p>
      <w:pPr>
        <w:spacing w:after="0" w:line="360" w:lineRule="auto"/>
        <w:jc w:val="both"/>
        <w:rPr>
          <w:rFonts w:ascii="Tahoma" w:hAnsi="Tahoma" w:cs="Tahoma"/>
        </w:rPr>
      </w:pPr>
      <w:r>
        <w:rPr>
          <w:rFonts w:ascii="Tahoma" w:hAnsi="Tahoma" w:cs="Tahoma"/>
        </w:rPr>
        <w:t xml:space="preserve">dd) Other postgraduate academic degrees of the equivalent academic level with the main academic degree, are awarded with </w:t>
      </w:r>
      <w:r>
        <w:rPr>
          <w:rFonts w:ascii="Tahoma" w:hAnsi="Tahoma" w:cs="Tahoma"/>
          <w:b/>
        </w:rPr>
        <w:t xml:space="preserve">30 </w:t>
      </w:r>
      <w:r>
        <w:rPr>
          <w:rFonts w:ascii="Tahoma" w:hAnsi="Tahoma" w:cs="Tahoma"/>
        </w:rPr>
        <w:t>credit points each.</w:t>
      </w:r>
    </w:p>
    <w:p>
      <w:pPr>
        <w:spacing w:after="0" w:line="360" w:lineRule="auto"/>
        <w:jc w:val="both"/>
        <w:rPr>
          <w:rFonts w:ascii="Tahoma" w:hAnsi="Tahoma" w:cs="Tahoma"/>
        </w:rPr>
      </w:pPr>
      <w:r>
        <w:rPr>
          <w:rFonts w:ascii="Tahoma" w:hAnsi="Tahoma" w:cs="Tahoma"/>
        </w:rPr>
        <w:t xml:space="preserve">ee) The doctorate in the scientific fields of the first paragraph of term III.2. herein, is awarded with </w:t>
      </w:r>
      <w:r>
        <w:rPr>
          <w:rFonts w:ascii="Tahoma" w:hAnsi="Tahoma" w:cs="Tahoma"/>
          <w:b/>
        </w:rPr>
        <w:t>250</w:t>
      </w:r>
      <w:r>
        <w:rPr>
          <w:rFonts w:ascii="Tahoma" w:hAnsi="Tahoma" w:cs="Tahoma"/>
        </w:rPr>
        <w:t xml:space="preserve"> credit points.</w:t>
      </w:r>
    </w:p>
    <w:p>
      <w:pPr>
        <w:spacing w:after="0" w:line="360" w:lineRule="auto"/>
        <w:jc w:val="both"/>
        <w:rPr>
          <w:rFonts w:ascii="Tahoma" w:hAnsi="Tahoma" w:cs="Tahoma"/>
        </w:rPr>
      </w:pPr>
      <w:r>
        <w:rPr>
          <w:rFonts w:ascii="Tahoma" w:hAnsi="Tahoma" w:cs="Tahoma"/>
        </w:rPr>
        <w:t xml:space="preserve">ff) Scientific papers in the fields defined in term III.2. herein on issues relevant to the subject of the position, up to </w:t>
      </w:r>
      <w:r>
        <w:rPr>
          <w:rFonts w:ascii="Tahoma" w:hAnsi="Tahoma" w:cs="Tahoma"/>
          <w:b/>
        </w:rPr>
        <w:t>50</w:t>
      </w:r>
      <w:r>
        <w:rPr>
          <w:rFonts w:ascii="Tahoma" w:hAnsi="Tahoma" w:cs="Tahoma"/>
        </w:rPr>
        <w:t xml:space="preserve"> credit points in total.</w:t>
      </w:r>
    </w:p>
    <w:p>
      <w:pPr>
        <w:spacing w:after="0" w:line="360" w:lineRule="auto"/>
        <w:jc w:val="both"/>
        <w:rPr>
          <w:rFonts w:ascii="Tahoma" w:hAnsi="Tahoma" w:cs="Tahoma"/>
        </w:rPr>
      </w:pPr>
      <w:r>
        <w:rPr>
          <w:rFonts w:ascii="Tahoma" w:hAnsi="Tahoma" w:cs="Tahoma"/>
        </w:rPr>
        <w:t xml:space="preserve">gg) The foreign language knowledge, certified by degrees / academic certificates and evidenced in accordance with the Annex of the ASEP (Supreme Council for Civil Personnel Selection) shall be awarded with credit points as follows: Excellent knowledge </w:t>
      </w:r>
      <w:r>
        <w:rPr>
          <w:rFonts w:ascii="Tahoma" w:hAnsi="Tahoma" w:cs="Tahoma"/>
          <w:b/>
        </w:rPr>
        <w:t>40</w:t>
      </w:r>
      <w:r>
        <w:rPr>
          <w:rFonts w:ascii="Tahoma" w:hAnsi="Tahoma" w:cs="Tahoma"/>
        </w:rPr>
        <w:t xml:space="preserve"> credit points for each language, very good knowledge  </w:t>
      </w:r>
      <w:r>
        <w:rPr>
          <w:rFonts w:ascii="Tahoma" w:hAnsi="Tahoma" w:cs="Tahoma"/>
          <w:b/>
        </w:rPr>
        <w:t xml:space="preserve">30 </w:t>
      </w:r>
      <w:r>
        <w:rPr>
          <w:rFonts w:ascii="Tahoma" w:hAnsi="Tahoma" w:cs="Tahoma"/>
        </w:rPr>
        <w:t xml:space="preserve">points, and good knowledge </w:t>
      </w:r>
      <w:r>
        <w:rPr>
          <w:rFonts w:ascii="Tahoma" w:hAnsi="Tahoma" w:cs="Tahoma"/>
          <w:b/>
        </w:rPr>
        <w:t>10</w:t>
      </w:r>
      <w:r>
        <w:rPr>
          <w:rFonts w:ascii="Tahoma" w:hAnsi="Tahoma" w:cs="Tahoma"/>
        </w:rPr>
        <w:t xml:space="preserve"> points. The way of evidencing the language competence is detailed in the Appendix </w:t>
      </w:r>
      <w:r>
        <w:rPr>
          <w:rFonts w:ascii="Tahoma" w:hAnsi="Tahoma" w:eastAsia="SimSun" w:cs="Tahoma"/>
          <w:bCs/>
          <w:lang w:eastAsia="el-GR"/>
        </w:rPr>
        <w:t>of the ASEP (Supreme Council for Civil Personnel Selection) Language Competence Certificates,</w:t>
      </w:r>
      <w:r>
        <w:rPr>
          <w:rFonts w:ascii="Tahoma" w:hAnsi="Tahoma" w:cs="Tahoma"/>
        </w:rPr>
        <w:t xml:space="preserve"> posted on the websites of the Ministry of Culture and Sports and of the National Theater</w:t>
      </w:r>
    </w:p>
    <w:p>
      <w:pPr>
        <w:spacing w:after="0" w:line="360" w:lineRule="auto"/>
        <w:jc w:val="both"/>
        <w:rPr>
          <w:rFonts w:ascii="Tahoma" w:hAnsi="Tahoma" w:cs="Tahoma"/>
        </w:rPr>
      </w:pPr>
      <w:r>
        <w:rPr>
          <w:rFonts w:ascii="Tahoma" w:hAnsi="Tahoma" w:cs="Tahoma"/>
        </w:rPr>
        <w:t>b) The professional experience and the experience in managerial positions, in a post with duties related to those of the post in question shall be awarded credit points as follows:</w:t>
      </w:r>
    </w:p>
    <w:p>
      <w:pPr>
        <w:spacing w:after="0" w:line="360" w:lineRule="auto"/>
        <w:jc w:val="both"/>
        <w:rPr>
          <w:rFonts w:ascii="Tahoma" w:hAnsi="Tahoma" w:cs="Tahoma"/>
        </w:rPr>
      </w:pPr>
      <w:r>
        <w:rPr>
          <w:rFonts w:ascii="Tahoma" w:hAnsi="Tahoma" w:cs="Tahoma"/>
        </w:rPr>
        <w:t xml:space="preserve">ba) </w:t>
      </w:r>
      <w:r>
        <w:rPr>
          <w:rFonts w:ascii="Tahoma" w:hAnsi="Tahoma" w:cs="Tahoma"/>
          <w:b/>
        </w:rPr>
        <w:t>50</w:t>
      </w:r>
      <w:r>
        <w:rPr>
          <w:rFonts w:ascii="Tahoma" w:hAnsi="Tahoma" w:cs="Tahoma"/>
        </w:rPr>
        <w:t xml:space="preserve"> credit points are awarded for each year of experience in managerial positions as referred to in III.1.iii herein, at a maximum of seven (7) years. A period of service or employment exceeding the six months shall be counted as a full year.</w:t>
      </w:r>
    </w:p>
    <w:p>
      <w:pPr>
        <w:spacing w:after="0" w:line="360" w:lineRule="auto"/>
        <w:jc w:val="both"/>
        <w:rPr>
          <w:rFonts w:ascii="Tahoma" w:hAnsi="Tahoma" w:eastAsia="SimSun" w:cs="Tahoma"/>
          <w:lang w:eastAsia="el-GR"/>
        </w:rPr>
      </w:pPr>
      <w:r>
        <w:rPr>
          <w:rFonts w:ascii="Tahoma" w:hAnsi="Tahoma" w:cs="Tahoma"/>
        </w:rPr>
        <w:t xml:space="preserve">The professional experience and the experience in managerial positions must be duly substantiated, in particular by: (a) a certificate of the domestic or foreign artistic or cultural organization in which it was acquired; (b) a certificate of the organization he /she has provided services </w:t>
      </w:r>
      <w:r>
        <w:rPr>
          <w:rFonts w:ascii="Tahoma" w:hAnsi="Tahoma" w:eastAsia="SimSun" w:cs="Tahoma"/>
          <w:lang w:eastAsia="el-GR"/>
        </w:rPr>
        <w:t>in the subjects of cultural management, curatorial studies, theatrology, fine arts and related disciplines.</w:t>
      </w:r>
    </w:p>
    <w:p>
      <w:pPr>
        <w:spacing w:after="0" w:line="360" w:lineRule="auto"/>
        <w:jc w:val="both"/>
        <w:rPr>
          <w:rFonts w:ascii="Tahoma" w:hAnsi="Tahoma" w:eastAsia="SimSun" w:cs="Tahoma"/>
          <w:lang w:eastAsia="el-GR"/>
        </w:rPr>
      </w:pPr>
      <w:r>
        <w:rPr>
          <w:rFonts w:ascii="Tahoma" w:hAnsi="Tahoma" w:eastAsia="SimSun" w:cs="Tahoma"/>
          <w:lang w:eastAsia="el-GR"/>
        </w:rPr>
        <w:t xml:space="preserve">(c) For candidates with a recognized artistic work, in sectors referred to in term III.1.ii of this Section, up to </w:t>
      </w:r>
      <w:r>
        <w:rPr>
          <w:rFonts w:ascii="Tahoma" w:hAnsi="Tahoma" w:eastAsia="SimSun" w:cs="Tahoma"/>
          <w:b/>
          <w:lang w:eastAsia="el-GR"/>
        </w:rPr>
        <w:t>350</w:t>
      </w:r>
      <w:r>
        <w:rPr>
          <w:rFonts w:ascii="Tahoma" w:hAnsi="Tahoma" w:eastAsia="SimSun" w:cs="Tahoma"/>
          <w:lang w:eastAsia="el-GR"/>
        </w:rPr>
        <w:t xml:space="preserve"> credit points, awarded by the Evaluation Committee upon a reasoned judgment.</w:t>
      </w:r>
    </w:p>
    <w:p>
      <w:pPr>
        <w:spacing w:after="0" w:line="360" w:lineRule="auto"/>
        <w:jc w:val="both"/>
        <w:rPr>
          <w:rFonts w:ascii="Tahoma" w:hAnsi="Tahoma" w:eastAsia="SimSun" w:cs="Tahoma"/>
          <w:lang w:eastAsia="el-GR"/>
        </w:rPr>
      </w:pPr>
      <w:r>
        <w:rPr>
          <w:rFonts w:ascii="Tahoma" w:hAnsi="Tahoma" w:eastAsia="SimSun" w:cs="Tahoma"/>
          <w:lang w:eastAsia="el-GR"/>
        </w:rPr>
        <w:t>4. Subsequently, the Evaluation Committee shall draw up a ranking table in descending order of rank based on the credit points awarding scale in accordance with the preceding paragraphs, and post it on the websites of the Greek Ministry of Culture and the National Theatre of Greece in accordance with the provisions of the legislation on the protection of personal data and send it directly to the e-mail address indicated by the candidates for communication.</w:t>
      </w:r>
    </w:p>
    <w:p>
      <w:pPr>
        <w:spacing w:after="0" w:line="360" w:lineRule="auto"/>
        <w:jc w:val="both"/>
        <w:rPr>
          <w:rFonts w:ascii="Tahoma" w:hAnsi="Tahoma" w:eastAsia="SimSun" w:cs="Tahoma"/>
          <w:lang w:eastAsia="el-GR"/>
        </w:rPr>
      </w:pPr>
      <w:r>
        <w:rPr>
          <w:rFonts w:ascii="Tahoma" w:hAnsi="Tahoma" w:eastAsia="SimSun" w:cs="Tahoma"/>
          <w:lang w:eastAsia="el-GR"/>
        </w:rPr>
        <w:t>5. Each candidate is granted the right to lodge an appeal against the ranking list within a maximum of five (5) days after the day the ranking list is sent to his / her e-mail address. The Evaluation Committee shall deal with the objections and decide on them within a maximum of five (5) days after the deadline for the submission of appeals.</w:t>
      </w:r>
    </w:p>
    <w:p>
      <w:pPr>
        <w:spacing w:after="0" w:line="360" w:lineRule="auto"/>
        <w:jc w:val="both"/>
        <w:rPr>
          <w:rFonts w:ascii="Tahoma" w:hAnsi="Tahoma" w:eastAsia="SimSun" w:cs="Tahoma"/>
          <w:lang w:eastAsia="el-GR"/>
        </w:rPr>
      </w:pPr>
      <w:r>
        <w:rPr>
          <w:rFonts w:ascii="Tahoma" w:hAnsi="Tahoma" w:eastAsia="SimSun" w:cs="Tahoma"/>
          <w:lang w:eastAsia="el-GR"/>
        </w:rPr>
        <w:t>6. Subsequently, the candidates are interviewed in accordance with the following procedure:</w:t>
      </w:r>
    </w:p>
    <w:p>
      <w:pPr>
        <w:spacing w:after="0" w:line="360" w:lineRule="auto"/>
        <w:jc w:val="both"/>
        <w:rPr>
          <w:rFonts w:ascii="Tahoma" w:hAnsi="Tahoma" w:eastAsia="SimSun" w:cs="Tahoma"/>
          <w:lang w:eastAsia="el-GR"/>
        </w:rPr>
      </w:pPr>
      <w:r>
        <w:rPr>
          <w:rFonts w:ascii="Tahoma" w:hAnsi="Tahoma" w:eastAsia="SimSun" w:cs="Tahoma"/>
          <w:lang w:eastAsia="el-GR"/>
        </w:rPr>
        <w:t>i. the candidates are invited to appear before the Committee on a date and time appointed by its Chairman,</w:t>
      </w:r>
    </w:p>
    <w:p>
      <w:pPr>
        <w:spacing w:after="0" w:line="360" w:lineRule="auto"/>
        <w:jc w:val="both"/>
        <w:rPr>
          <w:rFonts w:ascii="Tahoma" w:hAnsi="Tahoma" w:eastAsia="SimSun" w:cs="Tahoma"/>
          <w:lang w:eastAsia="el-GR"/>
        </w:rPr>
      </w:pPr>
      <w:r>
        <w:rPr>
          <w:rFonts w:ascii="Tahoma" w:hAnsi="Tahoma" w:eastAsia="SimSun" w:cs="Tahoma"/>
          <w:lang w:eastAsia="el-GR"/>
        </w:rPr>
        <w:t>ii. during the interview, issues related to the distinguishing features, the prospects and the objectives of the National Theatre of Greece are discussed, as well as the subject and the responsibilities of the post in question, so that the Commission can form an opinion on the personality, the ability and the suitability of the candidates for the post of the Artistic Director of the National Theatre of Greece, to assess their administrative skills in planning, coordinating, initiative taking and effective decision-making. It shall also take into account the communication skills, leadership qualities, especially under pressure, the ability to coordinate working groups and the creativity of the candidates. The applicants shall also be evaluated for their systematic involvement in the study, research and stage teaching of ancient drama, Greek dramaturgy, international dramatic repertoire and new forms of theatre and stage expression, their communication skills and their spirit of collaboration, the experience in effective teamwork, the ability to inspire associates, to utilize and organize their creative skills in the spirit of imaginative and enterprising leadership. They must also be able to form innovative strategies for the development, promotion and propagation of the theatrical art as a cultural, pedagogical, educational and recreational factor of social life and the promotion and encouragement of the theatrical human resources of the country with the aim of strengthening the interventionist role of the National Theater in the public sphere and the everyday life of the citizens. Finally, they should have knowledge of the international artistic scene and evidenced experience in synergies with the aim of promoting international theatrical exchanges and global theatrical cooperation.</w:t>
      </w:r>
    </w:p>
    <w:p>
      <w:pPr>
        <w:spacing w:after="0" w:line="360" w:lineRule="auto"/>
        <w:jc w:val="both"/>
        <w:rPr>
          <w:rFonts w:ascii="Tahoma" w:hAnsi="Tahoma" w:eastAsia="SimSun" w:cs="Tahoma"/>
          <w:lang w:eastAsia="el-GR"/>
        </w:rPr>
      </w:pPr>
      <w:r>
        <w:rPr>
          <w:rFonts w:ascii="Tahoma" w:hAnsi="Tahoma" w:eastAsia="SimSun" w:cs="Tahoma"/>
          <w:lang w:eastAsia="el-GR"/>
        </w:rPr>
        <w:t>iii. Minutes shall be kept of each interview, which shall be available to all candidates.</w:t>
      </w:r>
    </w:p>
    <w:p>
      <w:pPr>
        <w:spacing w:after="0" w:line="360" w:lineRule="auto"/>
        <w:jc w:val="both"/>
        <w:rPr>
          <w:rFonts w:ascii="Tahoma" w:hAnsi="Tahoma" w:eastAsia="SimSun" w:cs="Tahoma"/>
          <w:lang w:eastAsia="el-GR"/>
        </w:rPr>
      </w:pPr>
      <w:r>
        <w:rPr>
          <w:rFonts w:ascii="Tahoma" w:hAnsi="Tahoma" w:eastAsia="SimSun" w:cs="Tahoma"/>
          <w:lang w:eastAsia="el-GR"/>
        </w:rPr>
        <w:t xml:space="preserve">7. The interview shall be awarded at maximum with </w:t>
      </w:r>
      <w:r>
        <w:rPr>
          <w:rFonts w:ascii="Tahoma" w:hAnsi="Tahoma" w:eastAsia="SimSun" w:cs="Tahoma"/>
          <w:b/>
          <w:lang w:eastAsia="el-GR"/>
        </w:rPr>
        <w:t>1,000</w:t>
      </w:r>
      <w:r>
        <w:rPr>
          <w:rFonts w:ascii="Tahoma" w:hAnsi="Tahoma" w:eastAsia="SimSun" w:cs="Tahoma"/>
          <w:lang w:eastAsia="el-GR"/>
        </w:rPr>
        <w:t xml:space="preserve"> credit points. The total number of the interview credit points of each candidate is derived from the average of the grades awarded by the members of the Evaluation Committee, who shall justify their grading in summary form and these summaries shall be recorded in the aforementioned minutes.</w:t>
      </w:r>
    </w:p>
    <w:p>
      <w:pPr>
        <w:spacing w:after="0" w:line="360" w:lineRule="auto"/>
        <w:jc w:val="both"/>
        <w:rPr>
          <w:rFonts w:ascii="Tahoma" w:hAnsi="Tahoma" w:eastAsia="SimSun" w:cs="Tahoma"/>
          <w:lang w:eastAsia="el-GR"/>
        </w:rPr>
      </w:pPr>
      <w:r>
        <w:rPr>
          <w:rFonts w:ascii="Tahoma" w:hAnsi="Tahoma" w:eastAsia="SimSun" w:cs="Tahoma"/>
          <w:lang w:eastAsia="el-GR"/>
        </w:rPr>
        <w:t>8. For the purpose of calculating the total result of the credit point awarding, each set of criteria per candidate is multiplied by the corresponding importance coefficient and the total sum shall be calculated by adding together the respective results. The importance coefficient of each set of criteria shall be:</w:t>
      </w:r>
    </w:p>
    <w:p>
      <w:pPr>
        <w:spacing w:after="0" w:line="360" w:lineRule="auto"/>
        <w:jc w:val="both"/>
        <w:rPr>
          <w:rFonts w:ascii="Tahoma" w:hAnsi="Tahoma" w:eastAsia="SimSun" w:cs="Tahoma"/>
          <w:lang w:eastAsia="el-GR"/>
        </w:rPr>
      </w:pPr>
      <w:r>
        <w:rPr>
          <w:rFonts w:ascii="Tahoma" w:hAnsi="Tahoma" w:eastAsia="SimSun" w:cs="Tahoma"/>
          <w:lang w:eastAsia="el-GR"/>
        </w:rPr>
        <w:t>• 30% for criteria related to "scientific qualifications",</w:t>
      </w:r>
    </w:p>
    <w:p>
      <w:pPr>
        <w:spacing w:after="0" w:line="360" w:lineRule="auto"/>
        <w:jc w:val="both"/>
        <w:rPr>
          <w:rFonts w:ascii="Tahoma" w:hAnsi="Tahoma" w:eastAsia="SimSun" w:cs="Tahoma"/>
          <w:lang w:eastAsia="el-GR"/>
        </w:rPr>
      </w:pPr>
      <w:r>
        <w:rPr>
          <w:rFonts w:ascii="Tahoma" w:hAnsi="Tahoma" w:eastAsia="SimSun" w:cs="Tahoma"/>
          <w:lang w:eastAsia="el-GR"/>
        </w:rPr>
        <w:t>• 30% for the "professional experience and experience in managerial positions»</w:t>
      </w:r>
    </w:p>
    <w:p>
      <w:pPr>
        <w:spacing w:after="0" w:line="360" w:lineRule="auto"/>
        <w:jc w:val="both"/>
        <w:rPr>
          <w:rFonts w:ascii="Tahoma" w:hAnsi="Tahoma" w:eastAsia="SimSun" w:cs="Tahoma"/>
          <w:lang w:eastAsia="el-GR"/>
        </w:rPr>
      </w:pPr>
      <w:r>
        <w:rPr>
          <w:rFonts w:ascii="Tahoma" w:hAnsi="Tahoma" w:eastAsia="SimSun" w:cs="Tahoma"/>
          <w:lang w:eastAsia="el-GR"/>
        </w:rPr>
        <w:t>• 40% for the interview.</w:t>
      </w:r>
    </w:p>
    <w:p>
      <w:pPr>
        <w:spacing w:after="0" w:line="360" w:lineRule="auto"/>
        <w:jc w:val="both"/>
        <w:rPr>
          <w:rFonts w:ascii="Tahoma" w:hAnsi="Tahoma" w:eastAsia="SimSun" w:cs="Tahoma"/>
          <w:lang w:eastAsia="el-GR"/>
        </w:rPr>
      </w:pPr>
      <w:r>
        <w:rPr>
          <w:rFonts w:ascii="Tahoma" w:hAnsi="Tahoma" w:eastAsia="SimSun" w:cs="Tahoma"/>
          <w:lang w:eastAsia="el-GR"/>
        </w:rPr>
        <w:t>The total rating of the criteria shall be calculated up to two (2) decimal places.</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9. The Committee shall draw up a report on the final results of the credit points awarding to the candidates and shall post it expeditiously on the websites of the Greek Ministry of Culture and Sports and the National Theatre of Greece in accordance with the provisions of the legislation on the protection of personal data and shall send it directly to the e-mail address indicated by the candidates for communication.</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lang w:eastAsia="el-GR"/>
        </w:rPr>
      </w:pPr>
      <w:r>
        <w:rPr>
          <w:rFonts w:ascii="Tahoma" w:hAnsi="Tahoma" w:eastAsia="SimSun" w:cs="Tahoma"/>
          <w:lang w:eastAsia="el-GR"/>
        </w:rPr>
        <w:t xml:space="preserve">10. The applicant achieving the highest overall score shall be deemed to be the selected candidate. </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b/>
          <w:lang w:eastAsia="el-GR"/>
        </w:rPr>
      </w:pPr>
      <w:r>
        <w:rPr>
          <w:rFonts w:ascii="Tahoma" w:hAnsi="Tahoma" w:eastAsia="SimSun" w:cs="Tahoma"/>
          <w:b/>
          <w:lang w:eastAsia="el-GR"/>
        </w:rPr>
        <w:t>IX. APPOINTMENT OF THE SELECTED CANDIDATE</w:t>
      </w:r>
    </w:p>
    <w:p>
      <w:pPr>
        <w:spacing w:after="0" w:line="360" w:lineRule="auto"/>
        <w:jc w:val="both"/>
        <w:rPr>
          <w:rFonts w:ascii="Tahoma" w:hAnsi="Tahoma" w:eastAsia="SimSun" w:cs="Tahoma"/>
          <w:lang w:eastAsia="el-GR"/>
        </w:rPr>
      </w:pPr>
      <w:r>
        <w:rPr>
          <w:rFonts w:ascii="Tahoma" w:hAnsi="Tahoma" w:eastAsia="SimSun" w:cs="Tahoma"/>
          <w:lang w:eastAsia="el-GR"/>
        </w:rPr>
        <w:t xml:space="preserve">Whoever is selected by the Evaluation Committee shall be appointed as the Artistic Director of the National Theatre of Greece, for a renewable three-year term. </w:t>
      </w:r>
      <w:r>
        <w:rPr>
          <w:rFonts w:ascii="Tahoma" w:hAnsi="Tahoma" w:eastAsia="SimSun" w:cs="Tahoma"/>
          <w:lang w:val="el-GR" w:eastAsia="el-GR"/>
        </w:rPr>
        <w:t>Α</w:t>
      </w:r>
      <w:r>
        <w:rPr>
          <w:rFonts w:ascii="Tahoma" w:hAnsi="Tahoma" w:eastAsia="SimSun" w:cs="Tahoma"/>
          <w:lang w:eastAsia="el-GR"/>
        </w:rPr>
        <w:t xml:space="preserve"> decision of the Minister of Culture and Sports, for the appointment shall be issued no later than ten (10) days after the selection announcement. The remuneration of the Artistic Director of the Festival is determined by a joint decision of the Ministers of Finance and Culture and Sports, published in the Government Gazette.</w:t>
      </w:r>
    </w:p>
    <w:p>
      <w:pPr>
        <w:spacing w:after="0" w:line="360" w:lineRule="auto"/>
        <w:jc w:val="center"/>
        <w:rPr>
          <w:rFonts w:ascii="Tahoma" w:hAnsi="Tahoma" w:eastAsia="SimSun" w:cs="Tahoma"/>
          <w:lang w:eastAsia="el-GR"/>
        </w:rPr>
      </w:pPr>
      <w:r>
        <w:rPr>
          <w:rFonts w:ascii="Tahoma" w:hAnsi="Tahoma" w:eastAsia="SimSun" w:cs="Tahoma"/>
          <w:lang w:eastAsia="el-GR"/>
        </w:rPr>
        <w:t>This decision shall be published in the Government Gazette</w:t>
      </w:r>
    </w:p>
    <w:p>
      <w:pPr>
        <w:spacing w:after="0" w:line="360" w:lineRule="auto"/>
        <w:jc w:val="both"/>
        <w:rPr>
          <w:rFonts w:ascii="Tahoma" w:hAnsi="Tahoma" w:eastAsia="SimSun" w:cs="Tahoma"/>
          <w:lang w:eastAsia="el-GR"/>
        </w:rPr>
      </w:pPr>
    </w:p>
    <w:p>
      <w:pPr>
        <w:spacing w:after="0" w:line="360" w:lineRule="auto"/>
        <w:jc w:val="both"/>
        <w:rPr>
          <w:rFonts w:ascii="Tahoma" w:hAnsi="Tahoma" w:eastAsia="SimSun" w:cs="Tahoma"/>
          <w:b/>
          <w:bCs/>
          <w:lang w:eastAsia="el-GR"/>
        </w:rPr>
      </w:pPr>
    </w:p>
    <w:p>
      <w:pPr>
        <w:spacing w:after="0" w:line="360" w:lineRule="auto"/>
        <w:jc w:val="center"/>
        <w:rPr>
          <w:rFonts w:ascii="Tahoma" w:hAnsi="Tahoma" w:eastAsia="SimSun" w:cs="Tahoma"/>
          <w:b/>
          <w:bCs/>
          <w:lang w:eastAsia="el-GR"/>
        </w:rPr>
      </w:pPr>
    </w:p>
    <w:p>
      <w:pPr>
        <w:spacing w:line="360" w:lineRule="auto"/>
        <w:jc w:val="center"/>
        <w:rPr>
          <w:rFonts w:ascii="Tahoma" w:hAnsi="Tahoma" w:eastAsia="SimSun" w:cs="Tahoma"/>
          <w:b/>
          <w:bCs/>
          <w:lang w:eastAsia="el-GR"/>
        </w:rPr>
      </w:pPr>
      <w:r>
        <w:rPr>
          <w:rFonts w:ascii="Tahoma" w:hAnsi="Tahoma" w:eastAsia="SimSun" w:cs="Tahoma"/>
          <w:b/>
          <w:bCs/>
          <w:lang w:eastAsia="el-GR"/>
        </w:rPr>
        <w:t>THE MINISTER</w:t>
      </w:r>
    </w:p>
    <w:p>
      <w:pPr>
        <w:spacing w:line="360" w:lineRule="auto"/>
        <w:jc w:val="center"/>
        <w:rPr>
          <w:rFonts w:ascii="Tahoma" w:hAnsi="Tahoma" w:eastAsia="SimSun" w:cs="Tahoma"/>
          <w:b/>
          <w:bCs/>
          <w:lang w:eastAsia="el-GR"/>
        </w:rPr>
      </w:pPr>
      <w:r>
        <w:rPr>
          <w:rFonts w:ascii="Tahoma" w:hAnsi="Tahoma" w:eastAsia="SimSun" w:cs="Tahoma"/>
          <w:b/>
          <w:bCs/>
          <w:lang w:eastAsia="el-GR"/>
        </w:rPr>
        <w:t xml:space="preserve"> OF CULTURE AND SPORTS</w:t>
      </w:r>
    </w:p>
    <w:p>
      <w:pPr>
        <w:spacing w:line="360" w:lineRule="auto"/>
        <w:jc w:val="center"/>
        <w:rPr>
          <w:rFonts w:ascii="Tahoma" w:hAnsi="Tahoma" w:cs="Tahoma"/>
        </w:rPr>
      </w:pPr>
      <w:r>
        <w:rPr>
          <w:rFonts w:ascii="Tahoma" w:hAnsi="Tahoma" w:eastAsia="SimSun" w:cs="Tahoma"/>
          <w:b/>
          <w:bCs/>
          <w:lang w:eastAsia="el-GR"/>
        </w:rPr>
        <w:t>MYRSINI ZORBA</w:t>
      </w:r>
    </w:p>
    <w:p>
      <w:pPr>
        <w:spacing w:line="360" w:lineRule="auto"/>
        <w:rPr>
          <w:rFonts w:ascii="Tahoma" w:hAnsi="Tahoma" w:cs="Tahoma"/>
        </w:rPr>
      </w:pPr>
    </w:p>
    <w:sectPr>
      <w:footerReference r:id="rId3" w:type="default"/>
      <w:pgSz w:w="11906" w:h="16838"/>
      <w:pgMar w:top="1021" w:right="1191" w:bottom="720" w:left="119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Calibri">
    <w:panose1 w:val="020F0502020204030204"/>
    <w:charset w:val="A1"/>
    <w:family w:val="decorative"/>
    <w:pitch w:val="default"/>
    <w:sig w:usb0="E0002AFF" w:usb1="C000247B" w:usb2="00000009" w:usb3="00000000" w:csb0="200001FF" w:csb1="00000000"/>
  </w:font>
  <w:font w:name="Liberation Mono">
    <w:altName w:val="Courier New"/>
    <w:panose1 w:val="00000000000000000000"/>
    <w:charset w:val="A1"/>
    <w:family w:val="swiss"/>
    <w:pitch w:val="default"/>
    <w:sig w:usb0="00000000" w:usb1="00000000" w:usb2="00000001" w:usb3="00000000" w:csb0="000001BF" w:csb1="00000000"/>
  </w:font>
  <w:font w:name="Tahoma">
    <w:panose1 w:val="020B0604030504040204"/>
    <w:charset w:val="A1"/>
    <w:family w:val="decorative"/>
    <w:pitch w:val="default"/>
    <w:sig w:usb0="E1002EFF" w:usb1="C000605B" w:usb2="00000029" w:usb3="00000000" w:csb0="200101FF" w:csb1="20280000"/>
  </w:font>
  <w:font w:name="Calibri Light">
    <w:panose1 w:val="020F0302020204030204"/>
    <w:charset w:val="A1"/>
    <w:family w:val="decorative"/>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t>Page</w:t>
    </w:r>
    <w:r>
      <w:rPr>
        <w:lang w:val="el-GR"/>
      </w:rPr>
      <w:t xml:space="preserve"> </w:t>
    </w:r>
    <w:r>
      <w:rPr>
        <w:b/>
        <w:bCs/>
        <w:sz w:val="24"/>
        <w:szCs w:val="24"/>
      </w:rPr>
      <w:fldChar w:fldCharType="begin"/>
    </w:r>
    <w:r>
      <w:rPr>
        <w:b/>
        <w:bCs/>
      </w:rPr>
      <w:instrText xml:space="preserve">PAGE</w:instrText>
    </w:r>
    <w:r>
      <w:rPr>
        <w:b/>
        <w:bCs/>
        <w:sz w:val="24"/>
        <w:szCs w:val="24"/>
      </w:rPr>
      <w:fldChar w:fldCharType="separate"/>
    </w:r>
    <w:r>
      <w:rPr>
        <w:b/>
        <w:bCs/>
      </w:rPr>
      <w:t>12</w:t>
    </w:r>
    <w:r>
      <w:rPr>
        <w:b/>
        <w:bCs/>
        <w:sz w:val="24"/>
        <w:szCs w:val="24"/>
      </w:rPr>
      <w:fldChar w:fldCharType="end"/>
    </w:r>
    <w:r>
      <w:rPr>
        <w:lang w:val="el-GR"/>
      </w:rPr>
      <w:t xml:space="preserve"> </w:t>
    </w:r>
    <w:r>
      <w:t>of</w:t>
    </w:r>
    <w:r>
      <w:rPr>
        <w:lang w:val="el-GR"/>
      </w:rPr>
      <w:t xml:space="preserve"> </w:t>
    </w:r>
    <w:r>
      <w:rPr>
        <w:b/>
        <w:bCs/>
        <w:sz w:val="24"/>
        <w:szCs w:val="24"/>
      </w:rPr>
      <w:fldChar w:fldCharType="begin"/>
    </w:r>
    <w:r>
      <w:rPr>
        <w:b/>
        <w:bCs/>
      </w:rPr>
      <w:instrText xml:space="preserve">NUMPAGES</w:instrText>
    </w:r>
    <w:r>
      <w:rPr>
        <w:b/>
        <w:bCs/>
        <w:sz w:val="24"/>
        <w:szCs w:val="24"/>
      </w:rPr>
      <w:fldChar w:fldCharType="separate"/>
    </w:r>
    <w:r>
      <w:rPr>
        <w:b/>
        <w:bCs/>
      </w:rPr>
      <w:t>12</w:t>
    </w:r>
    <w:r>
      <w:rPr>
        <w:b/>
        <w:bCs/>
        <w:sz w:val="24"/>
        <w:szCs w:val="24"/>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18"/>
    <w:rsid w:val="0001561E"/>
    <w:rsid w:val="00024531"/>
    <w:rsid w:val="000316FB"/>
    <w:rsid w:val="000325BD"/>
    <w:rsid w:val="00032823"/>
    <w:rsid w:val="00033BA6"/>
    <w:rsid w:val="000411CA"/>
    <w:rsid w:val="00043794"/>
    <w:rsid w:val="00047D65"/>
    <w:rsid w:val="00051213"/>
    <w:rsid w:val="00052C67"/>
    <w:rsid w:val="000544FB"/>
    <w:rsid w:val="00061445"/>
    <w:rsid w:val="000659F3"/>
    <w:rsid w:val="0007337A"/>
    <w:rsid w:val="00073E10"/>
    <w:rsid w:val="000753CF"/>
    <w:rsid w:val="000761FA"/>
    <w:rsid w:val="000B0287"/>
    <w:rsid w:val="000B6916"/>
    <w:rsid w:val="000C23F2"/>
    <w:rsid w:val="000C316E"/>
    <w:rsid w:val="000D1702"/>
    <w:rsid w:val="000D3F1F"/>
    <w:rsid w:val="000D6C58"/>
    <w:rsid w:val="000E6C6C"/>
    <w:rsid w:val="000F0512"/>
    <w:rsid w:val="00106583"/>
    <w:rsid w:val="001068E4"/>
    <w:rsid w:val="00116B55"/>
    <w:rsid w:val="00121D91"/>
    <w:rsid w:val="001251BC"/>
    <w:rsid w:val="00125FAF"/>
    <w:rsid w:val="00136772"/>
    <w:rsid w:val="00137249"/>
    <w:rsid w:val="001476A8"/>
    <w:rsid w:val="001566EC"/>
    <w:rsid w:val="001570C0"/>
    <w:rsid w:val="0016485B"/>
    <w:rsid w:val="001722EB"/>
    <w:rsid w:val="00183CCC"/>
    <w:rsid w:val="00185C79"/>
    <w:rsid w:val="001904E9"/>
    <w:rsid w:val="00190F09"/>
    <w:rsid w:val="001924B1"/>
    <w:rsid w:val="00196C93"/>
    <w:rsid w:val="001A204A"/>
    <w:rsid w:val="001B5F8B"/>
    <w:rsid w:val="001B777E"/>
    <w:rsid w:val="001C2262"/>
    <w:rsid w:val="001C2A31"/>
    <w:rsid w:val="001C6F19"/>
    <w:rsid w:val="001D1234"/>
    <w:rsid w:val="001F16A2"/>
    <w:rsid w:val="00212DD8"/>
    <w:rsid w:val="002151FB"/>
    <w:rsid w:val="00215629"/>
    <w:rsid w:val="00222619"/>
    <w:rsid w:val="00235C63"/>
    <w:rsid w:val="00240735"/>
    <w:rsid w:val="00240A70"/>
    <w:rsid w:val="0024484F"/>
    <w:rsid w:val="00246BFD"/>
    <w:rsid w:val="002479FD"/>
    <w:rsid w:val="00257C66"/>
    <w:rsid w:val="00283FE4"/>
    <w:rsid w:val="002917EF"/>
    <w:rsid w:val="00297AED"/>
    <w:rsid w:val="002A5BC5"/>
    <w:rsid w:val="002B25C9"/>
    <w:rsid w:val="002B32C8"/>
    <w:rsid w:val="002B54C2"/>
    <w:rsid w:val="002B5D13"/>
    <w:rsid w:val="002B68DF"/>
    <w:rsid w:val="002B7D6E"/>
    <w:rsid w:val="002D1FEC"/>
    <w:rsid w:val="002D4F1E"/>
    <w:rsid w:val="002E5B87"/>
    <w:rsid w:val="002E7688"/>
    <w:rsid w:val="002F4BF9"/>
    <w:rsid w:val="002F6535"/>
    <w:rsid w:val="00306F0B"/>
    <w:rsid w:val="00311FEA"/>
    <w:rsid w:val="0034487A"/>
    <w:rsid w:val="00352225"/>
    <w:rsid w:val="00360720"/>
    <w:rsid w:val="003645B5"/>
    <w:rsid w:val="00365642"/>
    <w:rsid w:val="00367B99"/>
    <w:rsid w:val="00377E99"/>
    <w:rsid w:val="00381AE1"/>
    <w:rsid w:val="003A4BF4"/>
    <w:rsid w:val="003A5168"/>
    <w:rsid w:val="003C5BBA"/>
    <w:rsid w:val="003D3D8C"/>
    <w:rsid w:val="003D4DCC"/>
    <w:rsid w:val="003D5EA7"/>
    <w:rsid w:val="003D6A89"/>
    <w:rsid w:val="003E288D"/>
    <w:rsid w:val="003E3439"/>
    <w:rsid w:val="003E5267"/>
    <w:rsid w:val="003F1E17"/>
    <w:rsid w:val="00401295"/>
    <w:rsid w:val="00403C0C"/>
    <w:rsid w:val="00407C7C"/>
    <w:rsid w:val="00420AFE"/>
    <w:rsid w:val="00422A7A"/>
    <w:rsid w:val="004255CE"/>
    <w:rsid w:val="004351D6"/>
    <w:rsid w:val="00440969"/>
    <w:rsid w:val="004449E8"/>
    <w:rsid w:val="0046049A"/>
    <w:rsid w:val="00464C2B"/>
    <w:rsid w:val="00465D85"/>
    <w:rsid w:val="00473BEE"/>
    <w:rsid w:val="00476327"/>
    <w:rsid w:val="00480B0F"/>
    <w:rsid w:val="00483E6C"/>
    <w:rsid w:val="0048608A"/>
    <w:rsid w:val="0049252A"/>
    <w:rsid w:val="004A658B"/>
    <w:rsid w:val="004E6B37"/>
    <w:rsid w:val="0050015C"/>
    <w:rsid w:val="00506390"/>
    <w:rsid w:val="00507038"/>
    <w:rsid w:val="00516C8C"/>
    <w:rsid w:val="00523DBD"/>
    <w:rsid w:val="00530CBC"/>
    <w:rsid w:val="00535805"/>
    <w:rsid w:val="005440C2"/>
    <w:rsid w:val="00552465"/>
    <w:rsid w:val="00567AF3"/>
    <w:rsid w:val="00581330"/>
    <w:rsid w:val="00592C8E"/>
    <w:rsid w:val="00594DFC"/>
    <w:rsid w:val="005969AB"/>
    <w:rsid w:val="005A05F7"/>
    <w:rsid w:val="005A0836"/>
    <w:rsid w:val="005A284A"/>
    <w:rsid w:val="005A7FF3"/>
    <w:rsid w:val="005B52D0"/>
    <w:rsid w:val="005B7C2A"/>
    <w:rsid w:val="005C0C71"/>
    <w:rsid w:val="005C5126"/>
    <w:rsid w:val="005C5386"/>
    <w:rsid w:val="005C613E"/>
    <w:rsid w:val="005D10A9"/>
    <w:rsid w:val="005D1D37"/>
    <w:rsid w:val="005D4061"/>
    <w:rsid w:val="005D4BCF"/>
    <w:rsid w:val="005D5018"/>
    <w:rsid w:val="005E14BA"/>
    <w:rsid w:val="005F4696"/>
    <w:rsid w:val="00603FFF"/>
    <w:rsid w:val="006070B2"/>
    <w:rsid w:val="00634EED"/>
    <w:rsid w:val="00642375"/>
    <w:rsid w:val="006472D8"/>
    <w:rsid w:val="00647E33"/>
    <w:rsid w:val="00654EA1"/>
    <w:rsid w:val="00654FC5"/>
    <w:rsid w:val="0065548E"/>
    <w:rsid w:val="006642C6"/>
    <w:rsid w:val="00664430"/>
    <w:rsid w:val="00683B35"/>
    <w:rsid w:val="00687EA9"/>
    <w:rsid w:val="00694450"/>
    <w:rsid w:val="006A0967"/>
    <w:rsid w:val="006A2867"/>
    <w:rsid w:val="006A7088"/>
    <w:rsid w:val="006B0171"/>
    <w:rsid w:val="006C298D"/>
    <w:rsid w:val="006C3884"/>
    <w:rsid w:val="006C4DE8"/>
    <w:rsid w:val="006C754D"/>
    <w:rsid w:val="006D40AF"/>
    <w:rsid w:val="006E76C6"/>
    <w:rsid w:val="00706150"/>
    <w:rsid w:val="007119CF"/>
    <w:rsid w:val="0071599D"/>
    <w:rsid w:val="007160B9"/>
    <w:rsid w:val="007248BA"/>
    <w:rsid w:val="00741123"/>
    <w:rsid w:val="007536AD"/>
    <w:rsid w:val="00761460"/>
    <w:rsid w:val="00764E96"/>
    <w:rsid w:val="00767807"/>
    <w:rsid w:val="00773E49"/>
    <w:rsid w:val="00784CE5"/>
    <w:rsid w:val="00792623"/>
    <w:rsid w:val="007A45B0"/>
    <w:rsid w:val="007C2E66"/>
    <w:rsid w:val="007D2D52"/>
    <w:rsid w:val="007D531B"/>
    <w:rsid w:val="007E456D"/>
    <w:rsid w:val="007E71B9"/>
    <w:rsid w:val="007F2E5F"/>
    <w:rsid w:val="007F35AD"/>
    <w:rsid w:val="008009FA"/>
    <w:rsid w:val="00801177"/>
    <w:rsid w:val="00831092"/>
    <w:rsid w:val="008313A9"/>
    <w:rsid w:val="00840A9D"/>
    <w:rsid w:val="0085660A"/>
    <w:rsid w:val="008569E7"/>
    <w:rsid w:val="00866FE7"/>
    <w:rsid w:val="008736E0"/>
    <w:rsid w:val="008A58AC"/>
    <w:rsid w:val="008C0625"/>
    <w:rsid w:val="008D51E2"/>
    <w:rsid w:val="008D5454"/>
    <w:rsid w:val="008E13B2"/>
    <w:rsid w:val="008E204B"/>
    <w:rsid w:val="008E44F7"/>
    <w:rsid w:val="009108F8"/>
    <w:rsid w:val="0091422B"/>
    <w:rsid w:val="0091599C"/>
    <w:rsid w:val="00915F9C"/>
    <w:rsid w:val="00917FAD"/>
    <w:rsid w:val="0092035F"/>
    <w:rsid w:val="00924E59"/>
    <w:rsid w:val="00924FC6"/>
    <w:rsid w:val="00925530"/>
    <w:rsid w:val="00930985"/>
    <w:rsid w:val="00940696"/>
    <w:rsid w:val="00943BA4"/>
    <w:rsid w:val="009510EC"/>
    <w:rsid w:val="00951C5C"/>
    <w:rsid w:val="00951DF5"/>
    <w:rsid w:val="00971865"/>
    <w:rsid w:val="00980766"/>
    <w:rsid w:val="00984F75"/>
    <w:rsid w:val="0099074F"/>
    <w:rsid w:val="00997268"/>
    <w:rsid w:val="009A32AA"/>
    <w:rsid w:val="009B019F"/>
    <w:rsid w:val="009B4B32"/>
    <w:rsid w:val="009C3CF1"/>
    <w:rsid w:val="009E1F12"/>
    <w:rsid w:val="009F741D"/>
    <w:rsid w:val="00A1121F"/>
    <w:rsid w:val="00A1132F"/>
    <w:rsid w:val="00A20F8E"/>
    <w:rsid w:val="00A25EA9"/>
    <w:rsid w:val="00A2637D"/>
    <w:rsid w:val="00A35A77"/>
    <w:rsid w:val="00A4195F"/>
    <w:rsid w:val="00A4230C"/>
    <w:rsid w:val="00A4345A"/>
    <w:rsid w:val="00A435EA"/>
    <w:rsid w:val="00A43DA4"/>
    <w:rsid w:val="00A46593"/>
    <w:rsid w:val="00A55215"/>
    <w:rsid w:val="00A5667B"/>
    <w:rsid w:val="00A62F6A"/>
    <w:rsid w:val="00A651DE"/>
    <w:rsid w:val="00A653CF"/>
    <w:rsid w:val="00A71F3A"/>
    <w:rsid w:val="00A7243F"/>
    <w:rsid w:val="00A7391A"/>
    <w:rsid w:val="00A74483"/>
    <w:rsid w:val="00A75E22"/>
    <w:rsid w:val="00A90518"/>
    <w:rsid w:val="00AA31B6"/>
    <w:rsid w:val="00AB5500"/>
    <w:rsid w:val="00AB6175"/>
    <w:rsid w:val="00AB6ED6"/>
    <w:rsid w:val="00AB75B9"/>
    <w:rsid w:val="00AC25B5"/>
    <w:rsid w:val="00AC61AE"/>
    <w:rsid w:val="00AC67CD"/>
    <w:rsid w:val="00AD12BD"/>
    <w:rsid w:val="00AD2713"/>
    <w:rsid w:val="00AE03F8"/>
    <w:rsid w:val="00AE3070"/>
    <w:rsid w:val="00AF0990"/>
    <w:rsid w:val="00AF13F6"/>
    <w:rsid w:val="00B12AFA"/>
    <w:rsid w:val="00B2518A"/>
    <w:rsid w:val="00B43AF3"/>
    <w:rsid w:val="00B4620A"/>
    <w:rsid w:val="00B47C4E"/>
    <w:rsid w:val="00B50174"/>
    <w:rsid w:val="00B55553"/>
    <w:rsid w:val="00B871C3"/>
    <w:rsid w:val="00B91070"/>
    <w:rsid w:val="00B93EF2"/>
    <w:rsid w:val="00BA5836"/>
    <w:rsid w:val="00BC2C19"/>
    <w:rsid w:val="00BD198E"/>
    <w:rsid w:val="00BD5B0B"/>
    <w:rsid w:val="00BD63B9"/>
    <w:rsid w:val="00BE1094"/>
    <w:rsid w:val="00BF057D"/>
    <w:rsid w:val="00C01C89"/>
    <w:rsid w:val="00C04CBB"/>
    <w:rsid w:val="00C14220"/>
    <w:rsid w:val="00C20C7F"/>
    <w:rsid w:val="00C21880"/>
    <w:rsid w:val="00C301DB"/>
    <w:rsid w:val="00C305B4"/>
    <w:rsid w:val="00C4513D"/>
    <w:rsid w:val="00C47406"/>
    <w:rsid w:val="00C73B7E"/>
    <w:rsid w:val="00CA077E"/>
    <w:rsid w:val="00CA354B"/>
    <w:rsid w:val="00CB3A25"/>
    <w:rsid w:val="00CB427E"/>
    <w:rsid w:val="00CC14CF"/>
    <w:rsid w:val="00CC1696"/>
    <w:rsid w:val="00CC1765"/>
    <w:rsid w:val="00CD0606"/>
    <w:rsid w:val="00CF02F0"/>
    <w:rsid w:val="00CF66E7"/>
    <w:rsid w:val="00CF6A37"/>
    <w:rsid w:val="00CF6A6A"/>
    <w:rsid w:val="00D01597"/>
    <w:rsid w:val="00D02DE6"/>
    <w:rsid w:val="00D02F7F"/>
    <w:rsid w:val="00D04584"/>
    <w:rsid w:val="00D05EEB"/>
    <w:rsid w:val="00D166B0"/>
    <w:rsid w:val="00D24675"/>
    <w:rsid w:val="00D24AFA"/>
    <w:rsid w:val="00D261BC"/>
    <w:rsid w:val="00D34770"/>
    <w:rsid w:val="00D378DD"/>
    <w:rsid w:val="00D46EBF"/>
    <w:rsid w:val="00D6619D"/>
    <w:rsid w:val="00D74740"/>
    <w:rsid w:val="00D873DC"/>
    <w:rsid w:val="00D87B4E"/>
    <w:rsid w:val="00D9393E"/>
    <w:rsid w:val="00D93F38"/>
    <w:rsid w:val="00D94B11"/>
    <w:rsid w:val="00DA43EE"/>
    <w:rsid w:val="00DD24B9"/>
    <w:rsid w:val="00DF489A"/>
    <w:rsid w:val="00DF50B4"/>
    <w:rsid w:val="00DF7148"/>
    <w:rsid w:val="00E01391"/>
    <w:rsid w:val="00E0189A"/>
    <w:rsid w:val="00E02571"/>
    <w:rsid w:val="00E02F4D"/>
    <w:rsid w:val="00E05593"/>
    <w:rsid w:val="00E05765"/>
    <w:rsid w:val="00E252C2"/>
    <w:rsid w:val="00E3182E"/>
    <w:rsid w:val="00E36A35"/>
    <w:rsid w:val="00E405D1"/>
    <w:rsid w:val="00E569A6"/>
    <w:rsid w:val="00E56D72"/>
    <w:rsid w:val="00E71337"/>
    <w:rsid w:val="00E865B8"/>
    <w:rsid w:val="00EB05BE"/>
    <w:rsid w:val="00EB768B"/>
    <w:rsid w:val="00EC51B8"/>
    <w:rsid w:val="00ED0257"/>
    <w:rsid w:val="00ED7FAF"/>
    <w:rsid w:val="00EE415B"/>
    <w:rsid w:val="00EF1A37"/>
    <w:rsid w:val="00EF2A5D"/>
    <w:rsid w:val="00F07BAA"/>
    <w:rsid w:val="00F14AD0"/>
    <w:rsid w:val="00F17B6F"/>
    <w:rsid w:val="00F26934"/>
    <w:rsid w:val="00F2786C"/>
    <w:rsid w:val="00F31408"/>
    <w:rsid w:val="00F3365E"/>
    <w:rsid w:val="00F50699"/>
    <w:rsid w:val="00F5682D"/>
    <w:rsid w:val="00F62D60"/>
    <w:rsid w:val="00F633E8"/>
    <w:rsid w:val="00F658F4"/>
    <w:rsid w:val="00F74D99"/>
    <w:rsid w:val="00F75ED8"/>
    <w:rsid w:val="00F81EE1"/>
    <w:rsid w:val="00F820CF"/>
    <w:rsid w:val="00FA3E95"/>
    <w:rsid w:val="00FA440E"/>
    <w:rsid w:val="00FB38A8"/>
    <w:rsid w:val="00FC2AF3"/>
    <w:rsid w:val="00FC64D7"/>
    <w:rsid w:val="00FF6ABF"/>
    <w:rsid w:val="1BF867B4"/>
  </w:rsids>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unhideWhenUsed/>
    <w:uiPriority w:val="99"/>
    <w:pPr>
      <w:spacing w:after="0" w:line="240" w:lineRule="auto"/>
    </w:pPr>
    <w:rPr>
      <w:rFonts w:ascii="Tahoma" w:hAnsi="Tahoma" w:cs="Tahoma"/>
      <w:sz w:val="16"/>
      <w:szCs w:val="16"/>
    </w:rPr>
  </w:style>
  <w:style w:type="paragraph" w:styleId="3">
    <w:name w:val="annotation text"/>
    <w:basedOn w:val="1"/>
    <w:link w:val="9"/>
    <w:unhideWhenUsed/>
    <w:uiPriority w:val="99"/>
    <w:pPr>
      <w:spacing w:line="240" w:lineRule="auto"/>
    </w:pPr>
    <w:rPr>
      <w:sz w:val="20"/>
      <w:szCs w:val="20"/>
    </w:rPr>
  </w:style>
  <w:style w:type="paragraph" w:styleId="4">
    <w:name w:val="footer"/>
    <w:basedOn w:val="1"/>
    <w:link w:val="13"/>
    <w:unhideWhenUsed/>
    <w:uiPriority w:val="99"/>
    <w:pPr>
      <w:tabs>
        <w:tab w:val="center" w:pos="4153"/>
        <w:tab w:val="right" w:pos="8306"/>
      </w:tabs>
    </w:pPr>
  </w:style>
  <w:style w:type="paragraph" w:styleId="5">
    <w:name w:val="header"/>
    <w:basedOn w:val="1"/>
    <w:link w:val="12"/>
    <w:unhideWhenUsed/>
    <w:uiPriority w:val="99"/>
    <w:pPr>
      <w:tabs>
        <w:tab w:val="center" w:pos="4153"/>
        <w:tab w:val="right" w:pos="8306"/>
      </w:tabs>
    </w:pPr>
  </w:style>
  <w:style w:type="character" w:styleId="7">
    <w:name w:val="annotation reference"/>
    <w:unhideWhenUsed/>
    <w:uiPriority w:val="99"/>
    <w:rPr>
      <w:sz w:val="16"/>
      <w:szCs w:val="16"/>
    </w:rPr>
  </w:style>
  <w:style w:type="character" w:customStyle="1" w:styleId="9">
    <w:name w:val="Κείμενο σχολίου Char"/>
    <w:link w:val="3"/>
    <w:semiHidden/>
    <w:uiPriority w:val="99"/>
    <w:rPr>
      <w:rFonts w:ascii="Calibri" w:hAnsi="Calibri" w:eastAsia="Calibri" w:cs="Times New Roman"/>
      <w:sz w:val="20"/>
      <w:szCs w:val="20"/>
      <w:lang w:val="en-US"/>
    </w:rPr>
  </w:style>
  <w:style w:type="paragraph" w:customStyle="1" w:styleId="10">
    <w:name w:val="Preformatted Text"/>
    <w:basedOn w:val="1"/>
    <w:qFormat/>
    <w:uiPriority w:val="0"/>
    <w:rPr>
      <w:rFonts w:ascii="Liberation Mono" w:hAnsi="Liberation Mono" w:cs="Liberation Mono"/>
      <w:sz w:val="20"/>
      <w:szCs w:val="20"/>
    </w:rPr>
  </w:style>
  <w:style w:type="character" w:customStyle="1" w:styleId="11">
    <w:name w:val="Κείμενο πλαισίου Char"/>
    <w:link w:val="2"/>
    <w:semiHidden/>
    <w:uiPriority w:val="99"/>
    <w:rPr>
      <w:rFonts w:ascii="Tahoma" w:hAnsi="Tahoma" w:eastAsia="Calibri" w:cs="Tahoma"/>
      <w:sz w:val="16"/>
      <w:szCs w:val="16"/>
      <w:lang w:val="en-US"/>
    </w:rPr>
  </w:style>
  <w:style w:type="character" w:customStyle="1" w:styleId="12">
    <w:name w:val="Κεφαλίδα Char"/>
    <w:link w:val="5"/>
    <w:uiPriority w:val="99"/>
    <w:rPr>
      <w:sz w:val="22"/>
      <w:szCs w:val="22"/>
      <w:lang w:val="en-US" w:eastAsia="en-US"/>
    </w:rPr>
  </w:style>
  <w:style w:type="character" w:customStyle="1" w:styleId="13">
    <w:name w:val="Υποσέλιδο Char"/>
    <w:link w:val="4"/>
    <w:uiPriority w:val="99"/>
    <w:rPr>
      <w:sz w:val="22"/>
      <w:szCs w:val="22"/>
      <w:lang w:val="en-US"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footer" Target="footer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customXml" Target="../customXml/item1.xml"/><Relationship Id="rId1" Type="http://schemas.openxmlformats.org/officeDocument/2006/relationships/styles" Target="styles.xml"/><Relationship Id="rId11" Type="http://schemas.openxmlformats.org/officeDocument/2006/relationships/customXml" Target="../customXml/item5.xml"/><Relationship Id="rId5" Type="http://schemas.openxmlformats.org/officeDocument/2006/relationships/image" Target="media/image1.jpeg"/><Relationship Id="rId10" Type="http://schemas.openxmlformats.org/officeDocument/2006/relationships/customXml" Target="../customXml/item4.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8EE9D470-4C1E-4BD3-9582-0FBFBA76DB68}"/>
</file>

<file path=customXml/itemProps3.xml><?xml version="1.0" encoding="utf-8"?>
<ds:datastoreItem xmlns:ds="http://schemas.openxmlformats.org/officeDocument/2006/customXml" ds:itemID="{A84CD20F-A0EC-4715-B36A-C991947A4DE8}"/>
</file>

<file path=customXml/itemProps4.xml><?xml version="1.0" encoding="utf-8"?>
<ds:datastoreItem xmlns:ds="http://schemas.openxmlformats.org/officeDocument/2006/customXml" ds:itemID="{7BE263B6-A8B1-422A-B992-B336E3F0BCD2}"/>
</file>

<file path=customXml/itemProps5.xml><?xml version="1.0" encoding="utf-8"?>
<ds:datastoreItem xmlns:ds="http://schemas.openxmlformats.org/officeDocument/2006/customXml" ds:itemID="{FE1828DB-7728-486E-8EE5-426451243170}"/>
</file>

<file path=docProps/app.xml><?xml version="1.0" encoding="utf-8"?>
<Properties xmlns="http://schemas.openxmlformats.org/officeDocument/2006/extended-properties" xmlns:vt="http://schemas.openxmlformats.org/officeDocument/2006/docPropsVTypes">
  <Template>Normal.dotm</Template>
  <Pages>12</Pages>
  <Words>4245</Words>
  <Characters>22924</Characters>
  <Lines>191</Lines>
  <Paragraphs>54</Paragraphs>
  <TotalTime>0</TotalTime>
  <ScaleCrop>false</ScaleCrop>
  <LinksUpToDate>false</LinksUpToDate>
  <CharactersWithSpaces>27115</CharactersWithSpaces>
  <Application>WPS Office_10.1.0.5652_F1E327BC-269C-435d-A152-05C5408002CA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εκδήλωσης ενδιαφέροντος στα αγγλικά</dc:title>
  <dc:creator>user</dc:creator>
  <cp:lastModifiedBy>lenovo71</cp:lastModifiedBy>
  <cp:revision>3</cp:revision>
  <cp:lastPrinted>2019-05-07T11:42:00Z</cp:lastPrinted>
  <dcterms:created xsi:type="dcterms:W3CDTF">2019-05-24T16:35:00Z</dcterms:created>
  <dcterms:modified xsi:type="dcterms:W3CDTF">2019-05-30T11:39:09Z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1033-10.1.0.5652</vt:lpwstr>
  </property>
  <property fmtid="{D5CDD505-2E9C-101B-9397-08002B2CF9AE}" pid="3" name="ContentTypeId">
    <vt:lpwstr>0x01010083D890F2F5BE644981A254C8A4FE6820</vt:lpwstr>
  </property>
</Properties>
</file>